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9397D" w:rsidR="001C76DB" w:rsidP="00F82DCD" w:rsidRDefault="001C76DB" w14:paraId="5420CF45" w14:textId="77777777">
      <w:pPr>
        <w:jc w:val="center"/>
        <w:rPr>
          <w:rFonts w:cs="Arial"/>
        </w:rPr>
      </w:pPr>
    </w:p>
    <w:p w:rsidRPr="0039397D" w:rsidR="001C76DB" w:rsidP="00F82DCD" w:rsidRDefault="001C76DB" w14:paraId="09BC64CF" w14:textId="77777777">
      <w:pPr>
        <w:tabs>
          <w:tab w:val="left" w:pos="3712"/>
        </w:tabs>
        <w:jc w:val="center"/>
        <w:rPr>
          <w:rFonts w:cs="Arial"/>
          <w:sz w:val="56"/>
          <w:szCs w:val="56"/>
        </w:rPr>
      </w:pPr>
    </w:p>
    <w:p w:rsidR="00AD0ABF" w:rsidP="00F82DCD" w:rsidRDefault="00AD0ABF" w14:paraId="1B740B67" w14:textId="77777777">
      <w:pPr>
        <w:tabs>
          <w:tab w:val="left" w:pos="3712"/>
        </w:tabs>
        <w:jc w:val="center"/>
        <w:outlineLvl w:val="0"/>
        <w:rPr>
          <w:rFonts w:cs="Arial"/>
          <w:sz w:val="56"/>
          <w:szCs w:val="56"/>
        </w:rPr>
      </w:pPr>
    </w:p>
    <w:p w:rsidR="00AD0ABF" w:rsidP="00F82DCD" w:rsidRDefault="00AD0ABF" w14:paraId="4DE63CB8" w14:textId="77777777">
      <w:pPr>
        <w:tabs>
          <w:tab w:val="left" w:pos="3712"/>
        </w:tabs>
        <w:jc w:val="center"/>
        <w:outlineLvl w:val="0"/>
        <w:rPr>
          <w:rFonts w:cs="Arial"/>
          <w:sz w:val="56"/>
          <w:szCs w:val="56"/>
        </w:rPr>
      </w:pPr>
    </w:p>
    <w:p w:rsidRPr="00C12EAA" w:rsidR="006705FD" w:rsidP="00F82DCD" w:rsidRDefault="00657149" w14:paraId="14B43191" w14:textId="77777777">
      <w:pPr>
        <w:tabs>
          <w:tab w:val="left" w:pos="3712"/>
        </w:tabs>
        <w:jc w:val="center"/>
        <w:outlineLvl w:val="0"/>
        <w:rPr>
          <w:rFonts w:cs="Arial"/>
          <w:b/>
          <w:color w:val="1F497D" w:themeColor="text2"/>
          <w:sz w:val="72"/>
          <w:szCs w:val="72"/>
        </w:rPr>
      </w:pPr>
      <w:r w:rsidRPr="00C12EAA">
        <w:rPr>
          <w:rFonts w:cs="Arial"/>
          <w:b/>
          <w:color w:val="1F497D" w:themeColor="text2"/>
          <w:sz w:val="72"/>
          <w:szCs w:val="72"/>
        </w:rPr>
        <w:t xml:space="preserve">Providence Medical Group </w:t>
      </w:r>
    </w:p>
    <w:p w:rsidRPr="00C12EAA" w:rsidR="00657149" w:rsidP="00F82DCD" w:rsidRDefault="00657149" w14:paraId="5FDE4F88" w14:textId="77777777">
      <w:pPr>
        <w:tabs>
          <w:tab w:val="left" w:pos="3712"/>
        </w:tabs>
        <w:jc w:val="center"/>
        <w:outlineLvl w:val="0"/>
        <w:rPr>
          <w:rFonts w:cs="Arial"/>
          <w:b/>
          <w:color w:val="1F497D" w:themeColor="text2"/>
          <w:sz w:val="72"/>
          <w:szCs w:val="72"/>
        </w:rPr>
      </w:pPr>
      <w:r w:rsidRPr="00C12EAA">
        <w:rPr>
          <w:rFonts w:cs="Arial"/>
          <w:b/>
          <w:color w:val="1F497D" w:themeColor="text2"/>
          <w:sz w:val="72"/>
          <w:szCs w:val="72"/>
        </w:rPr>
        <w:t>Oregon Region</w:t>
      </w:r>
    </w:p>
    <w:p w:rsidRPr="0039397D" w:rsidR="00657149" w:rsidP="00F82DCD" w:rsidRDefault="00657149" w14:paraId="6E9DF5A9" w14:textId="77777777">
      <w:pPr>
        <w:tabs>
          <w:tab w:val="left" w:pos="3712"/>
        </w:tabs>
        <w:jc w:val="center"/>
        <w:rPr>
          <w:rFonts w:cs="Arial"/>
          <w:b/>
          <w:sz w:val="72"/>
          <w:szCs w:val="72"/>
        </w:rPr>
      </w:pPr>
    </w:p>
    <w:p w:rsidRPr="00C12EAA" w:rsidR="001C76DB" w:rsidP="00F82DCD" w:rsidRDefault="00657149" w14:paraId="3CE64BC1" w14:textId="65E949FD">
      <w:pPr>
        <w:tabs>
          <w:tab w:val="left" w:pos="3712"/>
        </w:tabs>
        <w:jc w:val="center"/>
        <w:rPr>
          <w:rFonts w:cs="Arial"/>
          <w:b/>
          <w:color w:val="F79646" w:themeColor="accent6"/>
          <w:sz w:val="52"/>
          <w:szCs w:val="52"/>
        </w:rPr>
      </w:pPr>
      <w:r w:rsidRPr="00C12EAA">
        <w:rPr>
          <w:rFonts w:cs="Arial"/>
          <w:b/>
          <w:color w:val="F79646" w:themeColor="accent6"/>
          <w:sz w:val="52"/>
          <w:szCs w:val="52"/>
        </w:rPr>
        <w:t xml:space="preserve">Post-Graduate Year 2 (PGY-2) </w:t>
      </w:r>
      <w:r w:rsidRPr="00C12EAA" w:rsidR="001C76DB">
        <w:rPr>
          <w:rFonts w:cs="Arial"/>
          <w:b/>
          <w:color w:val="F79646" w:themeColor="accent6"/>
          <w:sz w:val="52"/>
          <w:szCs w:val="52"/>
        </w:rPr>
        <w:t xml:space="preserve">Ambulatory Care </w:t>
      </w:r>
      <w:r w:rsidRPr="00C12EAA" w:rsidR="00682461">
        <w:rPr>
          <w:rFonts w:cs="Arial"/>
          <w:b/>
          <w:color w:val="F79646" w:themeColor="accent6"/>
          <w:sz w:val="52"/>
          <w:szCs w:val="52"/>
        </w:rPr>
        <w:t xml:space="preserve">Pharmacy </w:t>
      </w:r>
      <w:r w:rsidRPr="00C12EAA" w:rsidR="001C76DB">
        <w:rPr>
          <w:rFonts w:cs="Arial"/>
          <w:b/>
          <w:color w:val="F79646" w:themeColor="accent6"/>
          <w:sz w:val="52"/>
          <w:szCs w:val="52"/>
        </w:rPr>
        <w:t>Residency Manual</w:t>
      </w:r>
    </w:p>
    <w:p w:rsidRPr="0039397D" w:rsidR="00DF2651" w:rsidP="00F82DCD" w:rsidRDefault="00DF2651" w14:paraId="69F51296" w14:textId="77777777">
      <w:pPr>
        <w:rPr>
          <w:rFonts w:cs="Arial"/>
          <w:sz w:val="40"/>
          <w:szCs w:val="40"/>
        </w:rPr>
      </w:pPr>
      <w:r w:rsidRPr="0039397D">
        <w:rPr>
          <w:rFonts w:cs="Arial"/>
          <w:sz w:val="40"/>
          <w:szCs w:val="40"/>
        </w:rPr>
        <w:br w:type="page"/>
      </w:r>
    </w:p>
    <w:p w:rsidRPr="0039397D" w:rsidR="0039397D" w:rsidP="00F82DCD" w:rsidRDefault="0039397D" w14:paraId="79D6FEC6" w14:textId="77777777">
      <w:pPr>
        <w:tabs>
          <w:tab w:val="left" w:pos="3712"/>
        </w:tabs>
        <w:spacing w:after="60"/>
        <w:jc w:val="center"/>
        <w:outlineLvl w:val="0"/>
        <w:rPr>
          <w:rFonts w:cs="Arial"/>
          <w:sz w:val="40"/>
          <w:szCs w:val="40"/>
        </w:rPr>
      </w:pPr>
    </w:p>
    <w:p w:rsidRPr="0039397D" w:rsidR="00DF2651" w:rsidP="00F82DCD" w:rsidRDefault="00DF2651" w14:paraId="47F8DC8D" w14:textId="77777777">
      <w:pPr>
        <w:tabs>
          <w:tab w:val="left" w:pos="3712"/>
        </w:tabs>
        <w:spacing w:after="0"/>
        <w:jc w:val="center"/>
        <w:outlineLvl w:val="0"/>
        <w:rPr>
          <w:rFonts w:cs="Arial"/>
          <w:sz w:val="40"/>
          <w:szCs w:val="40"/>
        </w:rPr>
      </w:pPr>
      <w:r w:rsidRPr="0039397D">
        <w:rPr>
          <w:rFonts w:cs="Arial"/>
          <w:sz w:val="40"/>
          <w:szCs w:val="40"/>
        </w:rPr>
        <w:t>Table of Contents</w:t>
      </w:r>
    </w:p>
    <w:tbl>
      <w:tblPr>
        <w:tblStyle w:val="TableGrid"/>
        <w:tblW w:w="10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30"/>
        <w:gridCol w:w="984"/>
      </w:tblGrid>
      <w:tr w:rsidR="00C852DC" w:rsidTr="00C852DC" w14:paraId="7856F307" w14:textId="77777777">
        <w:trPr>
          <w:trHeight w:val="380"/>
        </w:trPr>
        <w:tc>
          <w:tcPr>
            <w:tcW w:w="9130" w:type="dxa"/>
            <w:vAlign w:val="center"/>
          </w:tcPr>
          <w:p w:rsidR="00C852DC" w:rsidP="00C852DC" w:rsidRDefault="00C852DC" w14:paraId="0218BFE9" w14:textId="77777777">
            <w:pPr>
              <w:contextualSpacing/>
              <w:rPr>
                <w:rFonts w:cs="Arial"/>
              </w:rPr>
            </w:pPr>
            <w:r>
              <w:rPr>
                <w:rFonts w:cs="Arial"/>
              </w:rPr>
              <w:t>1. Providence St Joseph Health Mission and Values</w:t>
            </w:r>
          </w:p>
        </w:tc>
        <w:tc>
          <w:tcPr>
            <w:tcW w:w="984" w:type="dxa"/>
            <w:vAlign w:val="center"/>
          </w:tcPr>
          <w:p w:rsidR="00C852DC" w:rsidP="00C852DC" w:rsidRDefault="00C852DC" w14:paraId="0A8701A6" w14:textId="77777777">
            <w:pPr>
              <w:contextualSpacing/>
              <w:jc w:val="right"/>
              <w:rPr>
                <w:rFonts w:cs="Arial"/>
              </w:rPr>
            </w:pPr>
            <w:r>
              <w:rPr>
                <w:rFonts w:cs="Arial"/>
              </w:rPr>
              <w:t>3</w:t>
            </w:r>
          </w:p>
        </w:tc>
      </w:tr>
      <w:tr w:rsidR="00C852DC" w:rsidTr="00C852DC" w14:paraId="046F90B6" w14:textId="77777777">
        <w:trPr>
          <w:trHeight w:val="380"/>
        </w:trPr>
        <w:tc>
          <w:tcPr>
            <w:tcW w:w="9130" w:type="dxa"/>
            <w:vAlign w:val="center"/>
          </w:tcPr>
          <w:p w:rsidR="00C852DC" w:rsidP="00C852DC" w:rsidRDefault="00C852DC" w14:paraId="3AB64D71" w14:textId="77777777">
            <w:pPr>
              <w:contextualSpacing/>
              <w:rPr>
                <w:rFonts w:cs="Arial"/>
              </w:rPr>
            </w:pPr>
            <w:r>
              <w:rPr>
                <w:rFonts w:cs="Arial"/>
              </w:rPr>
              <w:t>2. Providence Medical Group Department of Pharmacy</w:t>
            </w:r>
          </w:p>
        </w:tc>
        <w:tc>
          <w:tcPr>
            <w:tcW w:w="984" w:type="dxa"/>
            <w:vAlign w:val="center"/>
          </w:tcPr>
          <w:p w:rsidR="00C852DC" w:rsidP="00C852DC" w:rsidRDefault="00C852DC" w14:paraId="7EC5C6FB" w14:textId="77777777">
            <w:pPr>
              <w:contextualSpacing/>
              <w:jc w:val="right"/>
              <w:rPr>
                <w:rFonts w:cs="Arial"/>
              </w:rPr>
            </w:pPr>
            <w:r>
              <w:rPr>
                <w:rFonts w:cs="Arial"/>
              </w:rPr>
              <w:t>4</w:t>
            </w:r>
          </w:p>
        </w:tc>
      </w:tr>
      <w:tr w:rsidR="00C852DC" w:rsidTr="00C852DC" w14:paraId="5E905EB6" w14:textId="77777777">
        <w:trPr>
          <w:trHeight w:val="380"/>
        </w:trPr>
        <w:tc>
          <w:tcPr>
            <w:tcW w:w="9130" w:type="dxa"/>
            <w:vAlign w:val="center"/>
          </w:tcPr>
          <w:p w:rsidR="00C852DC" w:rsidP="00C852DC" w:rsidRDefault="00C852DC" w14:paraId="470F3D9B" w14:textId="77777777">
            <w:pPr>
              <w:contextualSpacing/>
              <w:rPr>
                <w:rFonts w:cs="Arial"/>
              </w:rPr>
            </w:pPr>
            <w:r>
              <w:rPr>
                <w:rFonts w:cs="Arial"/>
              </w:rPr>
              <w:t>3. Description of Pharmacy Services</w:t>
            </w:r>
          </w:p>
        </w:tc>
        <w:tc>
          <w:tcPr>
            <w:tcW w:w="984" w:type="dxa"/>
            <w:vAlign w:val="center"/>
          </w:tcPr>
          <w:p w:rsidR="00C852DC" w:rsidP="00C852DC" w:rsidRDefault="00C852DC" w14:paraId="2EBB3296" w14:textId="77777777">
            <w:pPr>
              <w:contextualSpacing/>
              <w:jc w:val="right"/>
              <w:rPr>
                <w:rFonts w:cs="Arial"/>
              </w:rPr>
            </w:pPr>
            <w:r>
              <w:rPr>
                <w:rFonts w:cs="Arial"/>
              </w:rPr>
              <w:t>5</w:t>
            </w:r>
          </w:p>
        </w:tc>
      </w:tr>
      <w:tr w:rsidR="00C852DC" w:rsidTr="00C852DC" w14:paraId="3DF4E5B1" w14:textId="77777777">
        <w:trPr>
          <w:trHeight w:val="366"/>
        </w:trPr>
        <w:tc>
          <w:tcPr>
            <w:tcW w:w="9130" w:type="dxa"/>
            <w:vAlign w:val="center"/>
          </w:tcPr>
          <w:p w:rsidR="00C852DC" w:rsidP="00C852DC" w:rsidRDefault="00C852DC" w14:paraId="638E4B20" w14:textId="77777777">
            <w:pPr>
              <w:contextualSpacing/>
              <w:rPr>
                <w:rFonts w:cs="Arial"/>
              </w:rPr>
            </w:pPr>
            <w:r>
              <w:rPr>
                <w:rFonts w:cs="Arial"/>
              </w:rPr>
              <w:t>4. Residency Description, Mission and Purpose</w:t>
            </w:r>
          </w:p>
        </w:tc>
        <w:tc>
          <w:tcPr>
            <w:tcW w:w="984" w:type="dxa"/>
            <w:vAlign w:val="center"/>
          </w:tcPr>
          <w:p w:rsidR="00C852DC" w:rsidP="00C852DC" w:rsidRDefault="00C852DC" w14:paraId="64E4F0C0" w14:textId="77777777">
            <w:pPr>
              <w:contextualSpacing/>
              <w:jc w:val="right"/>
              <w:rPr>
                <w:rFonts w:cs="Arial"/>
              </w:rPr>
            </w:pPr>
            <w:r>
              <w:rPr>
                <w:rFonts w:cs="Arial"/>
              </w:rPr>
              <w:t>6</w:t>
            </w:r>
          </w:p>
        </w:tc>
      </w:tr>
      <w:tr w:rsidR="00C852DC" w:rsidTr="00C852DC" w14:paraId="4888AD5E" w14:textId="77777777">
        <w:trPr>
          <w:trHeight w:val="380"/>
        </w:trPr>
        <w:tc>
          <w:tcPr>
            <w:tcW w:w="9130" w:type="dxa"/>
            <w:vAlign w:val="center"/>
          </w:tcPr>
          <w:p w:rsidR="00C852DC" w:rsidP="00C852DC" w:rsidRDefault="00C852DC" w14:paraId="771C9F60" w14:textId="77777777">
            <w:pPr>
              <w:contextualSpacing/>
              <w:rPr>
                <w:rFonts w:cs="Arial"/>
              </w:rPr>
            </w:pPr>
            <w:r>
              <w:rPr>
                <w:rFonts w:cs="Arial"/>
              </w:rPr>
              <w:t>5. Pharmacy Resident Advisor</w:t>
            </w:r>
          </w:p>
        </w:tc>
        <w:tc>
          <w:tcPr>
            <w:tcW w:w="984" w:type="dxa"/>
            <w:vAlign w:val="center"/>
          </w:tcPr>
          <w:p w:rsidR="00C852DC" w:rsidP="00C852DC" w:rsidRDefault="00C852DC" w14:paraId="201B0B2E" w14:textId="77777777">
            <w:pPr>
              <w:contextualSpacing/>
              <w:jc w:val="right"/>
              <w:rPr>
                <w:rFonts w:cs="Arial"/>
              </w:rPr>
            </w:pPr>
            <w:r>
              <w:rPr>
                <w:rFonts w:cs="Arial"/>
              </w:rPr>
              <w:t>7</w:t>
            </w:r>
          </w:p>
        </w:tc>
      </w:tr>
      <w:tr w:rsidR="00C852DC" w:rsidTr="00C852DC" w14:paraId="23C26B8F" w14:textId="77777777">
        <w:trPr>
          <w:trHeight w:val="380"/>
        </w:trPr>
        <w:tc>
          <w:tcPr>
            <w:tcW w:w="9130" w:type="dxa"/>
            <w:vAlign w:val="center"/>
          </w:tcPr>
          <w:p w:rsidR="00C852DC" w:rsidP="00C852DC" w:rsidRDefault="00C852DC" w14:paraId="3E6FB7D4" w14:textId="77777777">
            <w:pPr>
              <w:contextualSpacing/>
              <w:rPr>
                <w:rFonts w:cs="Arial"/>
              </w:rPr>
            </w:pPr>
            <w:r>
              <w:rPr>
                <w:rFonts w:cs="Arial"/>
              </w:rPr>
              <w:t>6. Residency Advisory Committee</w:t>
            </w:r>
          </w:p>
        </w:tc>
        <w:tc>
          <w:tcPr>
            <w:tcW w:w="984" w:type="dxa"/>
            <w:vAlign w:val="center"/>
          </w:tcPr>
          <w:p w:rsidR="00C852DC" w:rsidP="00C852DC" w:rsidRDefault="00516932" w14:paraId="5EEC2132" w14:textId="3DDCD844">
            <w:pPr>
              <w:contextualSpacing/>
              <w:jc w:val="right"/>
              <w:rPr>
                <w:rFonts w:cs="Arial"/>
              </w:rPr>
            </w:pPr>
            <w:r>
              <w:rPr>
                <w:rFonts w:cs="Arial"/>
              </w:rPr>
              <w:t>8</w:t>
            </w:r>
          </w:p>
        </w:tc>
      </w:tr>
      <w:tr w:rsidR="00C852DC" w:rsidTr="00C852DC" w14:paraId="57EEF9CD" w14:textId="77777777">
        <w:trPr>
          <w:trHeight w:val="380"/>
        </w:trPr>
        <w:tc>
          <w:tcPr>
            <w:tcW w:w="9130" w:type="dxa"/>
            <w:vAlign w:val="center"/>
          </w:tcPr>
          <w:p w:rsidR="00C852DC" w:rsidP="00C852DC" w:rsidRDefault="00C852DC" w14:paraId="74A5121B" w14:textId="77777777">
            <w:pPr>
              <w:contextualSpacing/>
              <w:rPr>
                <w:rFonts w:cs="Arial"/>
              </w:rPr>
            </w:pPr>
            <w:r>
              <w:rPr>
                <w:rFonts w:cs="Arial"/>
              </w:rPr>
              <w:t>7. Resident Responsibilities and Requirements</w:t>
            </w:r>
          </w:p>
        </w:tc>
        <w:tc>
          <w:tcPr>
            <w:tcW w:w="984" w:type="dxa"/>
            <w:vAlign w:val="center"/>
          </w:tcPr>
          <w:p w:rsidR="00C852DC" w:rsidP="00C852DC" w:rsidRDefault="00516932" w14:paraId="7BB488BF" w14:textId="28BF9427">
            <w:pPr>
              <w:contextualSpacing/>
              <w:jc w:val="right"/>
              <w:rPr>
                <w:rFonts w:cs="Arial"/>
              </w:rPr>
            </w:pPr>
            <w:r>
              <w:rPr>
                <w:rFonts w:cs="Arial"/>
              </w:rPr>
              <w:t>8</w:t>
            </w:r>
          </w:p>
        </w:tc>
      </w:tr>
      <w:tr w:rsidR="00C852DC" w:rsidTr="00C852DC" w14:paraId="30A81E22" w14:textId="77777777">
        <w:trPr>
          <w:trHeight w:val="366"/>
        </w:trPr>
        <w:tc>
          <w:tcPr>
            <w:tcW w:w="9130" w:type="dxa"/>
            <w:vAlign w:val="center"/>
          </w:tcPr>
          <w:p w:rsidR="00C852DC" w:rsidP="00C852DC" w:rsidRDefault="00C852DC" w14:paraId="05F21567" w14:textId="77777777">
            <w:pPr>
              <w:contextualSpacing/>
              <w:rPr>
                <w:rFonts w:cs="Arial"/>
              </w:rPr>
            </w:pPr>
            <w:r>
              <w:rPr>
                <w:rFonts w:cs="Arial"/>
              </w:rPr>
              <w:t>8. Residency Structure</w:t>
            </w:r>
          </w:p>
        </w:tc>
        <w:tc>
          <w:tcPr>
            <w:tcW w:w="984" w:type="dxa"/>
            <w:vAlign w:val="center"/>
          </w:tcPr>
          <w:p w:rsidR="00C852DC" w:rsidP="00C852DC" w:rsidRDefault="00C852DC" w14:paraId="332BC16C" w14:textId="29EDE9A1">
            <w:pPr>
              <w:contextualSpacing/>
              <w:jc w:val="right"/>
              <w:rPr>
                <w:rFonts w:cs="Arial"/>
              </w:rPr>
            </w:pPr>
            <w:r>
              <w:rPr>
                <w:rFonts w:cs="Arial"/>
              </w:rPr>
              <w:t>11</w:t>
            </w:r>
          </w:p>
        </w:tc>
      </w:tr>
      <w:tr w:rsidR="00C852DC" w:rsidTr="00C852DC" w14:paraId="0F449C7B" w14:textId="77777777">
        <w:trPr>
          <w:trHeight w:val="380"/>
        </w:trPr>
        <w:tc>
          <w:tcPr>
            <w:tcW w:w="9130" w:type="dxa"/>
            <w:vAlign w:val="center"/>
          </w:tcPr>
          <w:p w:rsidR="00C852DC" w:rsidP="00C852DC" w:rsidRDefault="00C852DC" w14:paraId="3C98C649" w14:textId="77777777">
            <w:pPr>
              <w:contextualSpacing/>
              <w:rPr>
                <w:rFonts w:cs="Arial"/>
              </w:rPr>
            </w:pPr>
            <w:r>
              <w:rPr>
                <w:rFonts w:cs="Arial"/>
              </w:rPr>
              <w:t>9. Benefits</w:t>
            </w:r>
          </w:p>
        </w:tc>
        <w:tc>
          <w:tcPr>
            <w:tcW w:w="984" w:type="dxa"/>
            <w:vAlign w:val="center"/>
          </w:tcPr>
          <w:p w:rsidR="00C852DC" w:rsidP="00C852DC" w:rsidRDefault="00C852DC" w14:paraId="4BFBA062" w14:textId="4D392DCD">
            <w:pPr>
              <w:contextualSpacing/>
              <w:jc w:val="right"/>
              <w:rPr>
                <w:rFonts w:cs="Arial"/>
              </w:rPr>
            </w:pPr>
            <w:r>
              <w:rPr>
                <w:rFonts w:cs="Arial"/>
              </w:rPr>
              <w:t>13</w:t>
            </w:r>
          </w:p>
        </w:tc>
      </w:tr>
      <w:tr w:rsidR="00C852DC" w:rsidTr="00C852DC" w14:paraId="00759FBC" w14:textId="77777777">
        <w:trPr>
          <w:trHeight w:val="380"/>
        </w:trPr>
        <w:tc>
          <w:tcPr>
            <w:tcW w:w="9130" w:type="dxa"/>
            <w:vAlign w:val="center"/>
          </w:tcPr>
          <w:p w:rsidR="00C852DC" w:rsidP="00C852DC" w:rsidRDefault="00C852DC" w14:paraId="5633DC18" w14:textId="77777777">
            <w:pPr>
              <w:contextualSpacing/>
              <w:rPr>
                <w:rFonts w:cs="Arial"/>
              </w:rPr>
            </w:pPr>
            <w:r>
              <w:rPr>
                <w:rFonts w:cs="Arial"/>
              </w:rPr>
              <w:t>10. Vacation/Sick Days/Personal Days</w:t>
            </w:r>
          </w:p>
        </w:tc>
        <w:tc>
          <w:tcPr>
            <w:tcW w:w="984" w:type="dxa"/>
            <w:vAlign w:val="center"/>
          </w:tcPr>
          <w:p w:rsidR="00C852DC" w:rsidP="00C852DC" w:rsidRDefault="00C852DC" w14:paraId="1E8F7484" w14:textId="4EDF0E98">
            <w:pPr>
              <w:contextualSpacing/>
              <w:jc w:val="right"/>
              <w:rPr>
                <w:rFonts w:cs="Arial"/>
              </w:rPr>
            </w:pPr>
            <w:r>
              <w:rPr>
                <w:rFonts w:cs="Arial"/>
              </w:rPr>
              <w:t>13</w:t>
            </w:r>
          </w:p>
        </w:tc>
      </w:tr>
      <w:tr w:rsidR="00C852DC" w:rsidTr="00C852DC" w14:paraId="738556B3" w14:textId="77777777">
        <w:trPr>
          <w:trHeight w:val="380"/>
        </w:trPr>
        <w:tc>
          <w:tcPr>
            <w:tcW w:w="9130" w:type="dxa"/>
            <w:vAlign w:val="center"/>
          </w:tcPr>
          <w:p w:rsidR="00C852DC" w:rsidP="00C852DC" w:rsidRDefault="00C852DC" w14:paraId="3034DB26" w14:textId="6C4F6498">
            <w:pPr>
              <w:contextualSpacing/>
              <w:rPr>
                <w:rFonts w:cs="Arial"/>
              </w:rPr>
            </w:pPr>
            <w:r>
              <w:rPr>
                <w:rFonts w:cs="Arial"/>
              </w:rPr>
              <w:t>11. Parking Stickers</w:t>
            </w:r>
          </w:p>
        </w:tc>
        <w:tc>
          <w:tcPr>
            <w:tcW w:w="984" w:type="dxa"/>
            <w:vAlign w:val="center"/>
          </w:tcPr>
          <w:p w:rsidR="00C852DC" w:rsidP="00C852DC" w:rsidRDefault="00C852DC" w14:paraId="76C80C1B" w14:textId="3CD3143A">
            <w:pPr>
              <w:contextualSpacing/>
              <w:jc w:val="right"/>
              <w:rPr>
                <w:rFonts w:cs="Arial"/>
              </w:rPr>
            </w:pPr>
            <w:r>
              <w:rPr>
                <w:rFonts w:cs="Arial"/>
              </w:rPr>
              <w:t>13</w:t>
            </w:r>
          </w:p>
        </w:tc>
      </w:tr>
      <w:tr w:rsidR="00C852DC" w:rsidTr="00C852DC" w14:paraId="59E29506" w14:textId="77777777">
        <w:trPr>
          <w:trHeight w:val="380"/>
        </w:trPr>
        <w:tc>
          <w:tcPr>
            <w:tcW w:w="9130" w:type="dxa"/>
            <w:vAlign w:val="center"/>
          </w:tcPr>
          <w:p w:rsidR="00C852DC" w:rsidP="00C852DC" w:rsidRDefault="00C852DC" w14:paraId="3B7D901E" w14:textId="4F657B22">
            <w:pPr>
              <w:contextualSpacing/>
              <w:rPr>
                <w:rFonts w:cs="Arial"/>
              </w:rPr>
            </w:pPr>
            <w:r>
              <w:rPr>
                <w:rFonts w:cs="Arial"/>
              </w:rPr>
              <w:t>12. Badge</w:t>
            </w:r>
          </w:p>
        </w:tc>
        <w:tc>
          <w:tcPr>
            <w:tcW w:w="984" w:type="dxa"/>
            <w:vAlign w:val="center"/>
          </w:tcPr>
          <w:p w:rsidR="00C852DC" w:rsidP="00C852DC" w:rsidRDefault="00C852DC" w14:paraId="5B0E97CE" w14:textId="1272A9E0">
            <w:pPr>
              <w:contextualSpacing/>
              <w:jc w:val="right"/>
              <w:rPr>
                <w:rFonts w:cs="Arial"/>
              </w:rPr>
            </w:pPr>
            <w:r>
              <w:rPr>
                <w:rFonts w:cs="Arial"/>
              </w:rPr>
              <w:t>13</w:t>
            </w:r>
          </w:p>
        </w:tc>
      </w:tr>
      <w:tr w:rsidR="00C852DC" w:rsidTr="00C852DC" w14:paraId="23672ECB" w14:textId="77777777">
        <w:trPr>
          <w:trHeight w:val="380"/>
        </w:trPr>
        <w:tc>
          <w:tcPr>
            <w:tcW w:w="9130" w:type="dxa"/>
            <w:vAlign w:val="center"/>
          </w:tcPr>
          <w:p w:rsidRPr="00C852DC" w:rsidR="00C852DC" w:rsidP="00C852DC" w:rsidRDefault="00C852DC" w14:paraId="68800D00" w14:textId="48F6B3AC">
            <w:pPr>
              <w:rPr>
                <w:rFonts w:cs="Arial"/>
              </w:rPr>
            </w:pPr>
            <w:r w:rsidRPr="00C852DC">
              <w:rPr>
                <w:rFonts w:cs="Arial"/>
              </w:rPr>
              <w:t>13.</w:t>
            </w:r>
            <w:r>
              <w:rPr>
                <w:rFonts w:cs="Arial"/>
              </w:rPr>
              <w:t xml:space="preserve"> </w:t>
            </w:r>
            <w:r w:rsidRPr="00C852DC">
              <w:rPr>
                <w:rFonts w:cs="Arial"/>
              </w:rPr>
              <w:t>TriMet Passes</w:t>
            </w:r>
          </w:p>
        </w:tc>
        <w:tc>
          <w:tcPr>
            <w:tcW w:w="984" w:type="dxa"/>
            <w:vAlign w:val="center"/>
          </w:tcPr>
          <w:p w:rsidR="00C852DC" w:rsidP="00C852DC" w:rsidRDefault="00C852DC" w14:paraId="137FA846" w14:textId="79E89C23">
            <w:pPr>
              <w:contextualSpacing/>
              <w:jc w:val="right"/>
              <w:rPr>
                <w:rFonts w:cs="Arial"/>
              </w:rPr>
            </w:pPr>
            <w:r>
              <w:rPr>
                <w:rFonts w:cs="Arial"/>
              </w:rPr>
              <w:t>13</w:t>
            </w:r>
          </w:p>
        </w:tc>
      </w:tr>
    </w:tbl>
    <w:p w:rsidRPr="00C852DC" w:rsidR="00C852DC" w:rsidP="00C852DC" w:rsidRDefault="00C852DC" w14:paraId="692E6AFC" w14:textId="77777777">
      <w:pPr>
        <w:spacing w:after="0" w:line="360" w:lineRule="auto"/>
        <w:ind w:left="360"/>
        <w:jc w:val="both"/>
        <w:rPr>
          <w:rFonts w:cs="Arial"/>
        </w:rPr>
      </w:pPr>
    </w:p>
    <w:p w:rsidRPr="0039397D" w:rsidR="0023076C" w:rsidP="00F82DCD" w:rsidRDefault="0023076C" w14:paraId="2AE1C73D" w14:textId="77777777">
      <w:pPr>
        <w:rPr>
          <w:rFonts w:cs="Arial"/>
          <w:sz w:val="40"/>
          <w:szCs w:val="40"/>
        </w:rPr>
      </w:pPr>
      <w:r w:rsidRPr="0039397D">
        <w:rPr>
          <w:rFonts w:cs="Arial"/>
          <w:sz w:val="40"/>
          <w:szCs w:val="40"/>
        </w:rPr>
        <w:br w:type="page"/>
      </w:r>
    </w:p>
    <w:p w:rsidRPr="0039397D" w:rsidR="00274EA9" w:rsidP="00F82DCD" w:rsidRDefault="0039397D" w14:paraId="05A727F3" w14:textId="77777777">
      <w:pPr>
        <w:autoSpaceDE w:val="0"/>
        <w:autoSpaceDN w:val="0"/>
        <w:adjustRightInd w:val="0"/>
        <w:spacing w:after="0"/>
        <w:jc w:val="center"/>
        <w:rPr>
          <w:rFonts w:cs="Arial"/>
          <w:b/>
          <w:bCs/>
          <w:color w:val="000000"/>
          <w:sz w:val="24"/>
          <w:szCs w:val="24"/>
        </w:rPr>
      </w:pPr>
      <w:r w:rsidRPr="0039397D">
        <w:rPr>
          <w:noProof/>
        </w:rPr>
        <w:drawing>
          <wp:inline distT="0" distB="0" distL="0" distR="0" wp14:anchorId="0D7358C3" wp14:editId="1D20E25F">
            <wp:extent cx="2682205" cy="542194"/>
            <wp:effectExtent l="19050" t="0" r="3845" b="0"/>
            <wp:docPr id="8" name="Picture 4" descr="http://in.providence.org/or/departments/marcom/Documents/LogoGuidelines/logo_colo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providence.org/or/departments/marcom/Documents/LogoGuidelines/logo_color_high-res.jpg"/>
                    <pic:cNvPicPr>
                      <a:picLocks noChangeAspect="1" noChangeArrowheads="1"/>
                    </pic:cNvPicPr>
                  </pic:nvPicPr>
                  <pic:blipFill>
                    <a:blip r:embed="rId11" cstate="print"/>
                    <a:srcRect/>
                    <a:stretch>
                      <a:fillRect/>
                    </a:stretch>
                  </pic:blipFill>
                  <pic:spPr bwMode="auto">
                    <a:xfrm>
                      <a:off x="0" y="0"/>
                      <a:ext cx="2702187" cy="546233"/>
                    </a:xfrm>
                    <a:prstGeom prst="rect">
                      <a:avLst/>
                    </a:prstGeom>
                    <a:noFill/>
                    <a:ln w="9525">
                      <a:noFill/>
                      <a:miter lim="800000"/>
                      <a:headEnd/>
                      <a:tailEnd/>
                    </a:ln>
                  </pic:spPr>
                </pic:pic>
              </a:graphicData>
            </a:graphic>
          </wp:inline>
        </w:drawing>
      </w:r>
    </w:p>
    <w:p w:rsidRPr="0039397D" w:rsidR="00274EA9" w:rsidP="00F82DCD" w:rsidRDefault="00274EA9" w14:paraId="78B44587" w14:textId="77777777">
      <w:pPr>
        <w:autoSpaceDE w:val="0"/>
        <w:autoSpaceDN w:val="0"/>
        <w:adjustRightInd w:val="0"/>
        <w:spacing w:after="0"/>
        <w:jc w:val="center"/>
        <w:rPr>
          <w:rFonts w:cs="Arial"/>
          <w:b/>
          <w:bCs/>
          <w:color w:val="000000"/>
          <w:sz w:val="24"/>
          <w:szCs w:val="24"/>
        </w:rPr>
      </w:pPr>
    </w:p>
    <w:p w:rsidRPr="0039397D" w:rsidR="00274EA9" w:rsidP="00F82DCD" w:rsidRDefault="00274EA9" w14:paraId="36DC4B59" w14:textId="77777777">
      <w:pPr>
        <w:autoSpaceDE w:val="0"/>
        <w:autoSpaceDN w:val="0"/>
        <w:adjustRightInd w:val="0"/>
        <w:spacing w:after="0"/>
        <w:jc w:val="center"/>
        <w:rPr>
          <w:rFonts w:cs="Arial"/>
          <w:b/>
          <w:bCs/>
          <w:color w:val="000000"/>
          <w:sz w:val="24"/>
          <w:szCs w:val="24"/>
        </w:rPr>
      </w:pPr>
    </w:p>
    <w:p w:rsidRPr="0039397D" w:rsidR="001C76DB" w:rsidP="00F82DCD" w:rsidRDefault="001C76DB" w14:paraId="3C436030" w14:textId="77777777">
      <w:pPr>
        <w:autoSpaceDE w:val="0"/>
        <w:autoSpaceDN w:val="0"/>
        <w:adjustRightInd w:val="0"/>
        <w:spacing w:after="0"/>
        <w:jc w:val="center"/>
        <w:outlineLvl w:val="0"/>
        <w:rPr>
          <w:rFonts w:cs="Arial"/>
          <w:b/>
          <w:bCs/>
          <w:color w:val="000000"/>
          <w:sz w:val="24"/>
          <w:szCs w:val="24"/>
        </w:rPr>
      </w:pPr>
      <w:r w:rsidRPr="0039397D">
        <w:rPr>
          <w:rFonts w:cs="Arial"/>
          <w:b/>
          <w:bCs/>
          <w:color w:val="000000"/>
          <w:sz w:val="24"/>
          <w:szCs w:val="24"/>
        </w:rPr>
        <w:t>OUR MISSION</w:t>
      </w:r>
    </w:p>
    <w:p w:rsidR="00D04D3F" w:rsidP="00F82DCD" w:rsidRDefault="001C76DB" w14:paraId="3ED1CCEE" w14:textId="77777777">
      <w:pPr>
        <w:autoSpaceDE w:val="0"/>
        <w:autoSpaceDN w:val="0"/>
        <w:adjustRightInd w:val="0"/>
        <w:spacing w:after="0"/>
        <w:jc w:val="center"/>
        <w:rPr>
          <w:rFonts w:cs="Arial"/>
          <w:color w:val="000000"/>
        </w:rPr>
      </w:pPr>
      <w:r w:rsidRPr="0039397D">
        <w:rPr>
          <w:rFonts w:cs="Arial"/>
          <w:color w:val="000000"/>
        </w:rPr>
        <w:t xml:space="preserve">As </w:t>
      </w:r>
      <w:r w:rsidR="00D04D3F">
        <w:rPr>
          <w:rFonts w:cs="Arial"/>
          <w:color w:val="000000"/>
        </w:rPr>
        <w:t>expressions of God’s healing love,</w:t>
      </w:r>
    </w:p>
    <w:p w:rsidR="00D04D3F" w:rsidP="00F82DCD" w:rsidRDefault="00D04D3F" w14:paraId="65170007" w14:textId="77777777">
      <w:pPr>
        <w:autoSpaceDE w:val="0"/>
        <w:autoSpaceDN w:val="0"/>
        <w:adjustRightInd w:val="0"/>
        <w:spacing w:after="0"/>
        <w:jc w:val="center"/>
        <w:rPr>
          <w:rFonts w:cs="Arial"/>
          <w:color w:val="000000"/>
        </w:rPr>
      </w:pPr>
      <w:r>
        <w:rPr>
          <w:rFonts w:cs="Arial"/>
          <w:color w:val="000000"/>
        </w:rPr>
        <w:t>witnessed through the ministry of Jesus,</w:t>
      </w:r>
    </w:p>
    <w:p w:rsidR="00D04D3F" w:rsidP="00F82DCD" w:rsidRDefault="00D04D3F" w14:paraId="7543F14C" w14:textId="77777777">
      <w:pPr>
        <w:autoSpaceDE w:val="0"/>
        <w:autoSpaceDN w:val="0"/>
        <w:adjustRightInd w:val="0"/>
        <w:spacing w:after="0"/>
        <w:jc w:val="center"/>
        <w:rPr>
          <w:rFonts w:cs="Arial"/>
          <w:color w:val="000000"/>
        </w:rPr>
      </w:pPr>
      <w:r>
        <w:rPr>
          <w:rFonts w:cs="Arial"/>
          <w:color w:val="000000"/>
        </w:rPr>
        <w:t xml:space="preserve">we are steadfast in serving all, </w:t>
      </w:r>
    </w:p>
    <w:p w:rsidRPr="0039397D" w:rsidR="001C76DB" w:rsidP="00F82DCD" w:rsidRDefault="00D04D3F" w14:paraId="62F763B0" w14:textId="4A8CEF3D">
      <w:pPr>
        <w:autoSpaceDE w:val="0"/>
        <w:autoSpaceDN w:val="0"/>
        <w:adjustRightInd w:val="0"/>
        <w:spacing w:after="0"/>
        <w:jc w:val="center"/>
        <w:rPr>
          <w:rFonts w:cs="Arial"/>
          <w:color w:val="000000"/>
        </w:rPr>
      </w:pPr>
      <w:r>
        <w:rPr>
          <w:rFonts w:cs="Arial"/>
          <w:color w:val="000000"/>
        </w:rPr>
        <w:t>especially those who are poor and vulnerable.</w:t>
      </w:r>
    </w:p>
    <w:p w:rsidRPr="0039397D" w:rsidR="00E3368C" w:rsidP="00F82DCD" w:rsidRDefault="00E3368C" w14:paraId="05AED4DC" w14:textId="77777777">
      <w:pPr>
        <w:autoSpaceDE w:val="0"/>
        <w:autoSpaceDN w:val="0"/>
        <w:adjustRightInd w:val="0"/>
        <w:spacing w:after="0"/>
        <w:rPr>
          <w:rFonts w:cs="Arial"/>
          <w:color w:val="000000"/>
          <w:sz w:val="21"/>
          <w:szCs w:val="21"/>
        </w:rPr>
      </w:pPr>
    </w:p>
    <w:p w:rsidRPr="0039397D" w:rsidR="005D00B7" w:rsidP="00F82DCD" w:rsidRDefault="001C76DB" w14:paraId="1F289EC4" w14:textId="77777777">
      <w:pPr>
        <w:autoSpaceDE w:val="0"/>
        <w:autoSpaceDN w:val="0"/>
        <w:adjustRightInd w:val="0"/>
        <w:spacing w:after="0"/>
        <w:jc w:val="center"/>
        <w:outlineLvl w:val="0"/>
        <w:rPr>
          <w:rFonts w:cs="Arial"/>
          <w:b/>
          <w:bCs/>
          <w:color w:val="000000"/>
          <w:sz w:val="24"/>
          <w:szCs w:val="24"/>
        </w:rPr>
      </w:pPr>
      <w:r w:rsidRPr="0039397D">
        <w:rPr>
          <w:rFonts w:cs="Arial"/>
          <w:b/>
          <w:bCs/>
          <w:color w:val="000000"/>
          <w:sz w:val="24"/>
          <w:szCs w:val="24"/>
        </w:rPr>
        <w:t>OUR CORE VALUES</w:t>
      </w:r>
    </w:p>
    <w:p w:rsidRPr="0039397D" w:rsidR="001C76DB" w:rsidP="00F82DCD" w:rsidRDefault="001C76DB" w14:paraId="59C1A318" w14:textId="77777777">
      <w:pPr>
        <w:autoSpaceDE w:val="0"/>
        <w:autoSpaceDN w:val="0"/>
        <w:adjustRightInd w:val="0"/>
        <w:spacing w:after="0"/>
        <w:jc w:val="center"/>
        <w:outlineLvl w:val="0"/>
        <w:rPr>
          <w:rFonts w:cs="Arial"/>
          <w:b/>
          <w:color w:val="003678"/>
          <w:sz w:val="28"/>
          <w:szCs w:val="28"/>
        </w:rPr>
      </w:pPr>
      <w:r w:rsidRPr="0039397D">
        <w:rPr>
          <w:rFonts w:cs="Arial"/>
          <w:b/>
          <w:color w:val="003678"/>
          <w:sz w:val="28"/>
          <w:szCs w:val="28"/>
        </w:rPr>
        <w:t>Compassion</w:t>
      </w:r>
    </w:p>
    <w:p w:rsidR="004B3463" w:rsidP="00F82DCD" w:rsidRDefault="00D04D3F" w14:paraId="6EDEA2BD" w14:textId="77777777">
      <w:pPr>
        <w:autoSpaceDE w:val="0"/>
        <w:autoSpaceDN w:val="0"/>
        <w:adjustRightInd w:val="0"/>
        <w:spacing w:after="0"/>
        <w:jc w:val="center"/>
        <w:rPr>
          <w:rFonts w:cs="Arial"/>
          <w:color w:val="000000"/>
        </w:rPr>
      </w:pPr>
      <w:r>
        <w:rPr>
          <w:rFonts w:cs="Arial"/>
          <w:color w:val="000000"/>
        </w:rPr>
        <w:t>We reach out to those</w:t>
      </w:r>
      <w:r w:rsidRPr="0039397D" w:rsidR="001C76DB">
        <w:rPr>
          <w:rFonts w:cs="Arial"/>
          <w:color w:val="000000"/>
        </w:rPr>
        <w:t xml:space="preserve"> in n</w:t>
      </w:r>
      <w:r>
        <w:rPr>
          <w:rFonts w:cs="Arial"/>
          <w:color w:val="000000"/>
        </w:rPr>
        <w:t xml:space="preserve">eed and offer </w:t>
      </w:r>
      <w:r w:rsidRPr="0039397D" w:rsidR="001C76DB">
        <w:rPr>
          <w:rFonts w:cs="Arial"/>
          <w:color w:val="000000"/>
        </w:rPr>
        <w:t>comfort as Jesus</w:t>
      </w:r>
      <w:r w:rsidR="004B3463">
        <w:rPr>
          <w:rFonts w:cs="Arial"/>
          <w:color w:val="000000"/>
        </w:rPr>
        <w:t xml:space="preserve"> </w:t>
      </w:r>
      <w:r w:rsidRPr="0039397D" w:rsidR="001C76DB">
        <w:rPr>
          <w:rFonts w:cs="Arial"/>
          <w:color w:val="000000"/>
        </w:rPr>
        <w:t xml:space="preserve">did. </w:t>
      </w:r>
    </w:p>
    <w:p w:rsidRPr="0039397D" w:rsidR="001C76DB" w:rsidP="00F82DCD" w:rsidRDefault="001C76DB" w14:paraId="6E6FED36" w14:textId="6E16248B">
      <w:pPr>
        <w:autoSpaceDE w:val="0"/>
        <w:autoSpaceDN w:val="0"/>
        <w:adjustRightInd w:val="0"/>
        <w:spacing w:after="0"/>
        <w:jc w:val="center"/>
        <w:rPr>
          <w:rFonts w:cs="Arial"/>
          <w:color w:val="000000"/>
        </w:rPr>
      </w:pPr>
      <w:r w:rsidRPr="0039397D">
        <w:rPr>
          <w:rFonts w:cs="Arial"/>
          <w:color w:val="000000"/>
        </w:rPr>
        <w:t>We nurture the spiritual, physical and emotional well-being of one another</w:t>
      </w:r>
    </w:p>
    <w:p w:rsidR="00D04D3F" w:rsidP="00D04D3F" w:rsidRDefault="001C76DB" w14:paraId="0B76CB57" w14:textId="12410478">
      <w:pPr>
        <w:autoSpaceDE w:val="0"/>
        <w:autoSpaceDN w:val="0"/>
        <w:adjustRightInd w:val="0"/>
        <w:spacing w:after="0"/>
        <w:jc w:val="center"/>
        <w:rPr>
          <w:rFonts w:cs="Arial"/>
          <w:color w:val="003678"/>
          <w:sz w:val="40"/>
          <w:szCs w:val="40"/>
        </w:rPr>
      </w:pPr>
      <w:r w:rsidRPr="0039397D">
        <w:rPr>
          <w:rFonts w:cs="Arial"/>
          <w:color w:val="000000"/>
        </w:rPr>
        <w:t xml:space="preserve">and those we serve. </w:t>
      </w:r>
      <w:r w:rsidR="00D04D3F">
        <w:rPr>
          <w:rFonts w:cs="Arial"/>
          <w:color w:val="000000"/>
        </w:rPr>
        <w:t>Through our healing presence, we accompany those who suffer.</w:t>
      </w:r>
      <w:r w:rsidRPr="00D04D3F" w:rsidR="00D04D3F">
        <w:rPr>
          <w:rFonts w:cs="Arial"/>
          <w:color w:val="003678"/>
          <w:sz w:val="40"/>
          <w:szCs w:val="40"/>
        </w:rPr>
        <w:t xml:space="preserve"> </w:t>
      </w:r>
    </w:p>
    <w:p w:rsidRPr="0039397D" w:rsidR="001C76DB" w:rsidP="00F82DCD" w:rsidRDefault="00D04D3F" w14:paraId="56EC1F6F" w14:textId="4658FA90">
      <w:pPr>
        <w:autoSpaceDE w:val="0"/>
        <w:autoSpaceDN w:val="0"/>
        <w:adjustRightInd w:val="0"/>
        <w:spacing w:after="0"/>
        <w:jc w:val="center"/>
        <w:rPr>
          <w:rFonts w:cs="Arial"/>
          <w:color w:val="000000"/>
        </w:rPr>
      </w:pPr>
      <w:r w:rsidRPr="0039397D">
        <w:rPr>
          <w:rFonts w:cs="Arial"/>
          <w:color w:val="003678"/>
          <w:sz w:val="40"/>
          <w:szCs w:val="40"/>
        </w:rPr>
        <w:t>-</w:t>
      </w:r>
    </w:p>
    <w:p w:rsidRPr="0039397D" w:rsidR="00D04D3F" w:rsidP="00D04D3F" w:rsidRDefault="00D04D3F" w14:paraId="3E396112" w14:textId="77777777">
      <w:pPr>
        <w:autoSpaceDE w:val="0"/>
        <w:autoSpaceDN w:val="0"/>
        <w:adjustRightInd w:val="0"/>
        <w:spacing w:after="0"/>
        <w:jc w:val="center"/>
        <w:rPr>
          <w:rFonts w:cs="Arial"/>
          <w:b/>
          <w:color w:val="003678"/>
          <w:sz w:val="28"/>
          <w:szCs w:val="28"/>
        </w:rPr>
      </w:pPr>
      <w:r>
        <w:rPr>
          <w:rFonts w:cs="Arial"/>
          <w:b/>
          <w:color w:val="003678"/>
          <w:sz w:val="28"/>
          <w:szCs w:val="28"/>
        </w:rPr>
        <w:t>Dignity</w:t>
      </w:r>
    </w:p>
    <w:p w:rsidRPr="0039397D" w:rsidR="00D04D3F" w:rsidP="00D04D3F" w:rsidRDefault="00D04D3F" w14:paraId="3A4DC362" w14:textId="3D24E20E">
      <w:pPr>
        <w:autoSpaceDE w:val="0"/>
        <w:autoSpaceDN w:val="0"/>
        <w:adjustRightInd w:val="0"/>
        <w:spacing w:after="0"/>
        <w:jc w:val="center"/>
        <w:rPr>
          <w:rFonts w:cs="Arial"/>
          <w:color w:val="000000"/>
        </w:rPr>
      </w:pPr>
      <w:r>
        <w:rPr>
          <w:rFonts w:cs="Arial"/>
          <w:color w:val="000000"/>
        </w:rPr>
        <w:t xml:space="preserve">We value, encourage and celebrate the gifts in one another. We respect the inherence dignity and </w:t>
      </w:r>
      <w:r w:rsidR="004B3463">
        <w:rPr>
          <w:rFonts w:cs="Arial"/>
          <w:color w:val="000000"/>
        </w:rPr>
        <w:t xml:space="preserve">                </w:t>
      </w:r>
      <w:r>
        <w:rPr>
          <w:rFonts w:cs="Arial"/>
          <w:color w:val="000000"/>
        </w:rPr>
        <w:t>worth of every individual. We recognize each interaction as a sacred encounter.</w:t>
      </w:r>
    </w:p>
    <w:p w:rsidRPr="0039397D" w:rsidR="001C76DB" w:rsidP="00D04D3F" w:rsidRDefault="00D04D3F" w14:paraId="3B7ED80A" w14:textId="544D6A41">
      <w:pPr>
        <w:autoSpaceDE w:val="0"/>
        <w:autoSpaceDN w:val="0"/>
        <w:adjustRightInd w:val="0"/>
        <w:spacing w:after="0"/>
        <w:jc w:val="center"/>
        <w:rPr>
          <w:rFonts w:cs="Arial"/>
          <w:color w:val="003678"/>
          <w:sz w:val="40"/>
          <w:szCs w:val="40"/>
        </w:rPr>
      </w:pPr>
      <w:r w:rsidRPr="0039397D">
        <w:rPr>
          <w:rFonts w:cs="Arial"/>
          <w:color w:val="003678"/>
          <w:sz w:val="40"/>
          <w:szCs w:val="40"/>
        </w:rPr>
        <w:t xml:space="preserve"> </w:t>
      </w:r>
      <w:r w:rsidRPr="0039397D" w:rsidR="001C76DB">
        <w:rPr>
          <w:rFonts w:cs="Arial"/>
          <w:color w:val="003678"/>
          <w:sz w:val="40"/>
          <w:szCs w:val="40"/>
        </w:rPr>
        <w:t>-</w:t>
      </w:r>
    </w:p>
    <w:p w:rsidRPr="0039397D" w:rsidR="001C76DB" w:rsidP="00F82DCD" w:rsidRDefault="001C76DB" w14:paraId="0C32D4FF" w14:textId="77777777">
      <w:pPr>
        <w:autoSpaceDE w:val="0"/>
        <w:autoSpaceDN w:val="0"/>
        <w:adjustRightInd w:val="0"/>
        <w:spacing w:after="0"/>
        <w:jc w:val="center"/>
        <w:outlineLvl w:val="0"/>
        <w:rPr>
          <w:rFonts w:cs="Arial"/>
          <w:b/>
          <w:color w:val="003678"/>
          <w:sz w:val="28"/>
          <w:szCs w:val="28"/>
        </w:rPr>
      </w:pPr>
      <w:r w:rsidRPr="0039397D">
        <w:rPr>
          <w:rFonts w:cs="Arial"/>
          <w:b/>
          <w:color w:val="003678"/>
          <w:sz w:val="28"/>
          <w:szCs w:val="28"/>
        </w:rPr>
        <w:t>Justice</w:t>
      </w:r>
    </w:p>
    <w:p w:rsidR="004B3463" w:rsidP="00F82DCD" w:rsidRDefault="001C76DB" w14:paraId="26799003" w14:textId="77777777">
      <w:pPr>
        <w:autoSpaceDE w:val="0"/>
        <w:autoSpaceDN w:val="0"/>
        <w:adjustRightInd w:val="0"/>
        <w:spacing w:after="0"/>
        <w:jc w:val="center"/>
        <w:rPr>
          <w:rFonts w:cs="Arial"/>
          <w:color w:val="000000"/>
        </w:rPr>
      </w:pPr>
      <w:r w:rsidRPr="0039397D">
        <w:rPr>
          <w:rFonts w:cs="Arial"/>
          <w:color w:val="000000"/>
        </w:rPr>
        <w:t xml:space="preserve">We </w:t>
      </w:r>
      <w:r w:rsidR="00D04D3F">
        <w:rPr>
          <w:rFonts w:cs="Arial"/>
          <w:color w:val="000000"/>
        </w:rPr>
        <w:t>foster a culture that promotes unity and reconciliation.</w:t>
      </w:r>
      <w:r w:rsidRPr="0039397D">
        <w:rPr>
          <w:rFonts w:cs="Arial"/>
          <w:color w:val="000000"/>
        </w:rPr>
        <w:t xml:space="preserve"> We strive to </w:t>
      </w:r>
      <w:r w:rsidR="00D04D3F">
        <w:rPr>
          <w:rFonts w:cs="Arial"/>
          <w:color w:val="000000"/>
        </w:rPr>
        <w:t xml:space="preserve">care wisely for our people, </w:t>
      </w:r>
    </w:p>
    <w:p w:rsidR="004B3463" w:rsidP="00F82DCD" w:rsidRDefault="00D04D3F" w14:paraId="47A2C699" w14:textId="77777777">
      <w:pPr>
        <w:autoSpaceDE w:val="0"/>
        <w:autoSpaceDN w:val="0"/>
        <w:adjustRightInd w:val="0"/>
        <w:spacing w:after="0"/>
        <w:jc w:val="center"/>
        <w:rPr>
          <w:rFonts w:cs="Arial"/>
          <w:color w:val="000000"/>
        </w:rPr>
      </w:pPr>
      <w:r>
        <w:rPr>
          <w:rFonts w:cs="Arial"/>
          <w:color w:val="000000"/>
        </w:rPr>
        <w:t>our resou</w:t>
      </w:r>
      <w:r w:rsidR="004B3463">
        <w:rPr>
          <w:rFonts w:cs="Arial"/>
          <w:color w:val="000000"/>
        </w:rPr>
        <w:t>r</w:t>
      </w:r>
      <w:r>
        <w:rPr>
          <w:rFonts w:cs="Arial"/>
          <w:color w:val="000000"/>
        </w:rPr>
        <w:t xml:space="preserve">ces and our earth. We stand in solidarity with the most vulnerable, working to remove </w:t>
      </w:r>
    </w:p>
    <w:p w:rsidR="00D04D3F" w:rsidP="00F82DCD" w:rsidRDefault="00D04D3F" w14:paraId="67526EAF" w14:textId="313E05C8">
      <w:pPr>
        <w:autoSpaceDE w:val="0"/>
        <w:autoSpaceDN w:val="0"/>
        <w:adjustRightInd w:val="0"/>
        <w:spacing w:after="0"/>
        <w:jc w:val="center"/>
        <w:rPr>
          <w:rFonts w:cs="Arial"/>
          <w:color w:val="000000"/>
        </w:rPr>
      </w:pPr>
      <w:r>
        <w:rPr>
          <w:rFonts w:cs="Arial"/>
          <w:color w:val="000000"/>
        </w:rPr>
        <w:t xml:space="preserve">the causes of oppression and promoting justice for all. </w:t>
      </w:r>
    </w:p>
    <w:p w:rsidRPr="0039397D" w:rsidR="001C76DB" w:rsidP="00F82DCD" w:rsidRDefault="001C76DB" w14:paraId="348F947F" w14:textId="606D164D">
      <w:pPr>
        <w:autoSpaceDE w:val="0"/>
        <w:autoSpaceDN w:val="0"/>
        <w:adjustRightInd w:val="0"/>
        <w:spacing w:after="0"/>
        <w:jc w:val="center"/>
        <w:rPr>
          <w:rFonts w:cs="Arial"/>
          <w:color w:val="003678"/>
          <w:sz w:val="40"/>
          <w:szCs w:val="40"/>
        </w:rPr>
      </w:pPr>
      <w:r w:rsidRPr="0039397D">
        <w:rPr>
          <w:rFonts w:cs="Arial"/>
          <w:color w:val="003678"/>
          <w:sz w:val="40"/>
          <w:szCs w:val="40"/>
        </w:rPr>
        <w:t>-</w:t>
      </w:r>
    </w:p>
    <w:p w:rsidRPr="0039397D" w:rsidR="001C76DB" w:rsidP="00F82DCD" w:rsidRDefault="001C76DB" w14:paraId="03408BD4" w14:textId="77777777">
      <w:pPr>
        <w:autoSpaceDE w:val="0"/>
        <w:autoSpaceDN w:val="0"/>
        <w:adjustRightInd w:val="0"/>
        <w:spacing w:after="0"/>
        <w:jc w:val="center"/>
        <w:outlineLvl w:val="0"/>
        <w:rPr>
          <w:rFonts w:cs="Arial"/>
          <w:b/>
          <w:color w:val="003678"/>
          <w:sz w:val="28"/>
          <w:szCs w:val="28"/>
        </w:rPr>
      </w:pPr>
      <w:r w:rsidRPr="0039397D">
        <w:rPr>
          <w:rFonts w:cs="Arial"/>
          <w:b/>
          <w:color w:val="003678"/>
          <w:sz w:val="28"/>
          <w:szCs w:val="28"/>
        </w:rPr>
        <w:t>Excellence</w:t>
      </w:r>
    </w:p>
    <w:p w:rsidR="004B3463" w:rsidP="00F82DCD" w:rsidRDefault="001C76DB" w14:paraId="6AE6EA4F" w14:textId="77777777">
      <w:pPr>
        <w:autoSpaceDE w:val="0"/>
        <w:autoSpaceDN w:val="0"/>
        <w:adjustRightInd w:val="0"/>
        <w:spacing w:after="0"/>
        <w:jc w:val="center"/>
        <w:rPr>
          <w:rFonts w:cs="Arial"/>
          <w:color w:val="000000"/>
        </w:rPr>
      </w:pPr>
      <w:r w:rsidRPr="0039397D">
        <w:rPr>
          <w:rFonts w:cs="Arial"/>
          <w:color w:val="000000"/>
        </w:rPr>
        <w:t xml:space="preserve">We set the highest standards for ourselves and for our ministry. </w:t>
      </w:r>
      <w:r w:rsidR="009F7F0F">
        <w:rPr>
          <w:rFonts w:cs="Arial"/>
          <w:color w:val="000000"/>
        </w:rPr>
        <w:t xml:space="preserve">Through transformation and innovation, </w:t>
      </w:r>
    </w:p>
    <w:p w:rsidR="004B3463" w:rsidP="00F82DCD" w:rsidRDefault="009F7F0F" w14:paraId="77253D11" w14:textId="77777777">
      <w:pPr>
        <w:autoSpaceDE w:val="0"/>
        <w:autoSpaceDN w:val="0"/>
        <w:adjustRightInd w:val="0"/>
        <w:spacing w:after="0"/>
        <w:jc w:val="center"/>
        <w:rPr>
          <w:rFonts w:cs="Arial"/>
          <w:color w:val="000000"/>
        </w:rPr>
      </w:pPr>
      <w:r>
        <w:rPr>
          <w:rFonts w:cs="Arial"/>
          <w:color w:val="000000"/>
        </w:rPr>
        <w:t xml:space="preserve">we strive to improve the health and quality of life in our communities. We commit to compassionate, </w:t>
      </w:r>
    </w:p>
    <w:p w:rsidRPr="0039397D" w:rsidR="001C76DB" w:rsidP="00F82DCD" w:rsidRDefault="009F7F0F" w14:paraId="6E2089B8" w14:textId="6AA4B5C0">
      <w:pPr>
        <w:autoSpaceDE w:val="0"/>
        <w:autoSpaceDN w:val="0"/>
        <w:adjustRightInd w:val="0"/>
        <w:spacing w:after="0"/>
        <w:jc w:val="center"/>
        <w:rPr>
          <w:rFonts w:cs="Arial"/>
          <w:color w:val="000000"/>
        </w:rPr>
      </w:pPr>
      <w:r>
        <w:rPr>
          <w:rFonts w:cs="Arial"/>
          <w:color w:val="000000"/>
        </w:rPr>
        <w:t>safe and reliable practices for the care of all.</w:t>
      </w:r>
    </w:p>
    <w:p w:rsidRPr="0039397D" w:rsidR="001C76DB" w:rsidP="00F82DCD" w:rsidRDefault="001C76DB" w14:paraId="71504277" w14:textId="77777777">
      <w:pPr>
        <w:autoSpaceDE w:val="0"/>
        <w:autoSpaceDN w:val="0"/>
        <w:adjustRightInd w:val="0"/>
        <w:spacing w:after="0"/>
        <w:jc w:val="center"/>
        <w:rPr>
          <w:rFonts w:cs="Arial"/>
          <w:color w:val="003678"/>
          <w:sz w:val="40"/>
          <w:szCs w:val="40"/>
        </w:rPr>
      </w:pPr>
      <w:r w:rsidRPr="0039397D">
        <w:rPr>
          <w:rFonts w:cs="Arial"/>
          <w:color w:val="003678"/>
          <w:sz w:val="40"/>
          <w:szCs w:val="40"/>
        </w:rPr>
        <w:t>-</w:t>
      </w:r>
    </w:p>
    <w:p w:rsidRPr="0039397D" w:rsidR="001C76DB" w:rsidP="00F82DCD" w:rsidRDefault="009F7F0F" w14:paraId="2F12BB5A" w14:textId="3D8F7F6B">
      <w:pPr>
        <w:autoSpaceDE w:val="0"/>
        <w:autoSpaceDN w:val="0"/>
        <w:adjustRightInd w:val="0"/>
        <w:spacing w:after="0"/>
        <w:jc w:val="center"/>
        <w:outlineLvl w:val="0"/>
        <w:rPr>
          <w:rFonts w:cs="Arial"/>
          <w:b/>
          <w:color w:val="003678"/>
          <w:sz w:val="28"/>
          <w:szCs w:val="28"/>
        </w:rPr>
      </w:pPr>
      <w:r>
        <w:rPr>
          <w:rFonts w:cs="Arial"/>
          <w:b/>
          <w:color w:val="003678"/>
          <w:sz w:val="28"/>
          <w:szCs w:val="28"/>
        </w:rPr>
        <w:t xml:space="preserve">Integrity </w:t>
      </w:r>
    </w:p>
    <w:p w:rsidR="004B3463" w:rsidP="00F82DCD" w:rsidRDefault="009F7F0F" w14:paraId="4BDD7B43" w14:textId="77777777">
      <w:pPr>
        <w:tabs>
          <w:tab w:val="left" w:pos="3712"/>
        </w:tabs>
        <w:spacing w:after="60"/>
        <w:jc w:val="center"/>
        <w:rPr>
          <w:rFonts w:cs="Arial"/>
          <w:color w:val="000000"/>
        </w:rPr>
      </w:pPr>
      <w:r>
        <w:rPr>
          <w:rFonts w:cs="Arial"/>
          <w:color w:val="000000"/>
        </w:rPr>
        <w:t xml:space="preserve">We hold ourselves accountable to do the right thing for </w:t>
      </w:r>
      <w:r w:rsidR="00277C1E">
        <w:rPr>
          <w:rFonts w:cs="Arial"/>
          <w:color w:val="000000"/>
        </w:rPr>
        <w:t xml:space="preserve">the right reasons. We speak truthfully and </w:t>
      </w:r>
    </w:p>
    <w:p w:rsidRPr="0039397D" w:rsidR="001C76DB" w:rsidP="00F82DCD" w:rsidRDefault="00277C1E" w14:paraId="2BDB6333" w14:textId="0ACEA47E">
      <w:pPr>
        <w:tabs>
          <w:tab w:val="left" w:pos="3712"/>
        </w:tabs>
        <w:spacing w:after="60"/>
        <w:jc w:val="center"/>
        <w:rPr>
          <w:rFonts w:cs="Arial"/>
          <w:color w:val="000000"/>
        </w:rPr>
      </w:pPr>
      <w:r>
        <w:rPr>
          <w:rFonts w:cs="Arial"/>
          <w:color w:val="000000"/>
        </w:rPr>
        <w:t xml:space="preserve">courageously with generosity and respect. We pursue authenticity with humility and simplicity. </w:t>
      </w:r>
    </w:p>
    <w:p w:rsidRPr="00F82DCD" w:rsidR="005D00B7" w:rsidP="00CB5E0B" w:rsidRDefault="0054215D" w14:paraId="1A797478" w14:textId="77777777">
      <w:pPr>
        <w:spacing w:after="0"/>
        <w:rPr>
          <w:rFonts w:cs="Arial"/>
          <w:b/>
          <w:u w:val="single"/>
        </w:rPr>
      </w:pPr>
      <w:r w:rsidRPr="0039397D">
        <w:rPr>
          <w:rFonts w:cs="Arial"/>
          <w:color w:val="000000"/>
          <w:sz w:val="21"/>
          <w:szCs w:val="21"/>
        </w:rPr>
        <w:br w:type="page"/>
      </w:r>
      <w:r w:rsidRPr="00F11106" w:rsidR="005D00B7">
        <w:rPr>
          <w:rFonts w:cs="Arial"/>
          <w:b/>
          <w:color w:val="1F497D" w:themeColor="text2"/>
          <w:sz w:val="28"/>
          <w:szCs w:val="28"/>
          <w:u w:val="single"/>
        </w:rPr>
        <w:t xml:space="preserve">Providence </w:t>
      </w:r>
      <w:r w:rsidRPr="00581C89" w:rsidR="005D00B7">
        <w:rPr>
          <w:rFonts w:cs="Arial"/>
          <w:b/>
          <w:color w:val="1F497D" w:themeColor="text2"/>
          <w:sz w:val="28"/>
          <w:szCs w:val="28"/>
          <w:u w:val="single"/>
        </w:rPr>
        <w:t>Medical</w:t>
      </w:r>
      <w:r w:rsidRPr="00F11106" w:rsidR="005D00B7">
        <w:rPr>
          <w:rFonts w:cs="Arial"/>
          <w:b/>
          <w:color w:val="1F497D" w:themeColor="text2"/>
          <w:sz w:val="28"/>
          <w:szCs w:val="28"/>
          <w:u w:val="single"/>
        </w:rPr>
        <w:t xml:space="preserve"> Group Department of Pharmacy</w:t>
      </w:r>
    </w:p>
    <w:p w:rsidRPr="0039397D" w:rsidR="0001259B" w:rsidP="00CB5E0B" w:rsidRDefault="0001259B" w14:paraId="4075EA5F" w14:textId="77777777">
      <w:pPr>
        <w:spacing w:after="0"/>
        <w:rPr>
          <w:rFonts w:cs="Arial"/>
        </w:rPr>
      </w:pPr>
      <w:r w:rsidRPr="0039397D">
        <w:rPr>
          <w:rFonts w:cs="Arial"/>
        </w:rPr>
        <w:t>Clinical Pharmacy Department</w:t>
      </w:r>
    </w:p>
    <w:p w:rsidRPr="0039397D" w:rsidR="0001259B" w:rsidP="00F82DCD" w:rsidRDefault="0001259B" w14:paraId="06AD22FF" w14:textId="77777777">
      <w:pPr>
        <w:spacing w:after="0"/>
        <w:rPr>
          <w:rFonts w:cs="Arial"/>
        </w:rPr>
      </w:pPr>
      <w:r w:rsidRPr="0039397D">
        <w:rPr>
          <w:rFonts w:cs="Arial"/>
        </w:rPr>
        <w:t>Providence Medical Group, Suite 490</w:t>
      </w:r>
    </w:p>
    <w:p w:rsidRPr="0039397D" w:rsidR="0001259B" w:rsidP="00F82DCD" w:rsidRDefault="0001259B" w14:paraId="3B243401" w14:textId="77777777">
      <w:pPr>
        <w:spacing w:after="0"/>
        <w:rPr>
          <w:rFonts w:cs="Arial"/>
        </w:rPr>
      </w:pPr>
      <w:r w:rsidRPr="0039397D">
        <w:rPr>
          <w:rFonts w:cs="Arial"/>
        </w:rPr>
        <w:t>4400 NE Halsey Street, Building 2</w:t>
      </w:r>
    </w:p>
    <w:p w:rsidRPr="0039397D" w:rsidR="0001259B" w:rsidP="00F82DCD" w:rsidRDefault="0001259B" w14:paraId="76EBDA02" w14:textId="77777777">
      <w:pPr>
        <w:spacing w:after="0"/>
        <w:rPr>
          <w:rFonts w:cs="Arial"/>
        </w:rPr>
      </w:pPr>
      <w:r w:rsidRPr="0039397D">
        <w:rPr>
          <w:rFonts w:cs="Arial"/>
        </w:rPr>
        <w:t>Portland, OR  98213</w:t>
      </w:r>
    </w:p>
    <w:p w:rsidRPr="0039397D" w:rsidR="00E543E1" w:rsidP="00F82DCD" w:rsidRDefault="00E543E1" w14:paraId="51178226" w14:textId="77777777">
      <w:pPr>
        <w:spacing w:after="0"/>
        <w:rPr>
          <w:rFonts w:cs="Arial"/>
        </w:rPr>
      </w:pPr>
      <w:r w:rsidRPr="0039397D">
        <w:rPr>
          <w:rFonts w:cs="Arial"/>
        </w:rPr>
        <w:t>503-893-6900</w:t>
      </w:r>
      <w:r w:rsidR="0066138E">
        <w:rPr>
          <w:rFonts w:cs="Arial"/>
        </w:rPr>
        <w:t xml:space="preserve"> - Pharmacy S</w:t>
      </w:r>
      <w:r w:rsidR="00581C89">
        <w:rPr>
          <w:rFonts w:cs="Arial"/>
        </w:rPr>
        <w:t>cheduling</w:t>
      </w:r>
    </w:p>
    <w:p w:rsidRPr="0039397D" w:rsidR="00E543E1" w:rsidP="00F82DCD" w:rsidRDefault="00E543E1" w14:paraId="0DE8DCBA" w14:textId="77777777">
      <w:pPr>
        <w:spacing w:after="0"/>
        <w:rPr>
          <w:rFonts w:cs="Arial"/>
        </w:rPr>
      </w:pPr>
      <w:r w:rsidRPr="0039397D">
        <w:rPr>
          <w:rFonts w:cs="Arial"/>
        </w:rPr>
        <w:t xml:space="preserve">503-893-6913 </w:t>
      </w:r>
      <w:r w:rsidR="0066138E">
        <w:rPr>
          <w:rFonts w:cs="Arial"/>
        </w:rPr>
        <w:t>- F</w:t>
      </w:r>
      <w:r w:rsidRPr="0039397D">
        <w:rPr>
          <w:rFonts w:cs="Arial"/>
        </w:rPr>
        <w:t>ax</w:t>
      </w:r>
    </w:p>
    <w:p w:rsidRPr="0039397D" w:rsidR="0001259B" w:rsidP="00F82DCD" w:rsidRDefault="0001259B" w14:paraId="10F17E47" w14:textId="77777777">
      <w:pPr>
        <w:spacing w:after="0"/>
        <w:outlineLvl w:val="0"/>
        <w:rPr>
          <w:rFonts w:cs="Arial"/>
        </w:rPr>
      </w:pPr>
      <w:r w:rsidRPr="0039397D">
        <w:rPr>
          <w:rFonts w:cs="Arial"/>
        </w:rPr>
        <w:t>Clinic Locations: Refer to the Providence Intranet site for PMG Clinic locations.</w:t>
      </w:r>
    </w:p>
    <w:p w:rsidR="004B2753" w:rsidP="00F82DCD" w:rsidRDefault="001B7334" w14:paraId="51B9BE5A" w14:textId="0717E4E2">
      <w:pPr>
        <w:spacing w:after="0"/>
        <w:rPr>
          <w:rFonts w:cs="Arial"/>
        </w:rPr>
      </w:pPr>
      <w:r>
        <w:rPr>
          <w:rFonts w:cs="Arial"/>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5"/>
        <w:gridCol w:w="5035"/>
      </w:tblGrid>
      <w:tr w:rsidR="00C852DC" w:rsidTr="6A46ECC6" w14:paraId="19A4EC43" w14:textId="77777777">
        <w:tc>
          <w:tcPr>
            <w:tcW w:w="10070" w:type="dxa"/>
            <w:gridSpan w:val="2"/>
          </w:tcPr>
          <w:p w:rsidR="00C852DC" w:rsidP="00A949D4" w:rsidRDefault="00C852DC" w14:paraId="5A26B2C4" w14:textId="27EC4A69">
            <w:pPr>
              <w:jc w:val="center"/>
              <w:rPr>
                <w:rFonts w:cs="Arial"/>
                <w:b/>
                <w:color w:val="1F497D" w:themeColor="text2"/>
              </w:rPr>
            </w:pPr>
            <w:r>
              <w:rPr>
                <w:rFonts w:cs="Arial"/>
                <w:b/>
                <w:color w:val="1F497D" w:themeColor="text2"/>
              </w:rPr>
              <w:t>PGY2 Ambulatory Care Residency-Portland</w:t>
            </w:r>
          </w:p>
        </w:tc>
      </w:tr>
      <w:tr w:rsidR="00C852DC" w:rsidTr="6A46ECC6" w14:paraId="3BF0914F" w14:textId="77777777">
        <w:tc>
          <w:tcPr>
            <w:tcW w:w="5035" w:type="dxa"/>
          </w:tcPr>
          <w:p w:rsidR="00C852DC" w:rsidP="00C852DC" w:rsidRDefault="00C852DC" w14:paraId="7F542B35" w14:textId="01DA09B8">
            <w:pPr>
              <w:rPr>
                <w:rFonts w:cs="Arial"/>
                <w:b/>
                <w:color w:val="1F497D" w:themeColor="text2"/>
              </w:rPr>
            </w:pPr>
            <w:r w:rsidRPr="00581C89">
              <w:rPr>
                <w:rFonts w:cs="Arial"/>
                <w:b/>
                <w:color w:val="1F497D" w:themeColor="text2"/>
              </w:rPr>
              <w:t>Residency Program Director</w:t>
            </w:r>
          </w:p>
        </w:tc>
        <w:tc>
          <w:tcPr>
            <w:tcW w:w="5035" w:type="dxa"/>
          </w:tcPr>
          <w:p w:rsidR="00C852DC" w:rsidP="00C852DC" w:rsidRDefault="00C852DC" w14:paraId="5B0A79D4" w14:textId="77777777">
            <w:pPr>
              <w:rPr>
                <w:rFonts w:cs="Arial"/>
                <w:b/>
                <w:color w:val="1F497D" w:themeColor="text2"/>
              </w:rPr>
            </w:pPr>
          </w:p>
        </w:tc>
      </w:tr>
      <w:tr w:rsidR="00C852DC" w:rsidTr="6A46ECC6" w14:paraId="4083F2A1" w14:textId="77777777">
        <w:tc>
          <w:tcPr>
            <w:tcW w:w="5035" w:type="dxa"/>
          </w:tcPr>
          <w:p w:rsidR="00C852DC" w:rsidP="00C852DC" w:rsidRDefault="00C852DC" w14:paraId="4FC1207E" w14:textId="4BA2A7B3">
            <w:pPr>
              <w:rPr>
                <w:rFonts w:cs="Arial"/>
                <w:b/>
                <w:color w:val="1F497D" w:themeColor="text2"/>
              </w:rPr>
            </w:pPr>
            <w:r>
              <w:rPr>
                <w:rFonts w:cs="Arial"/>
              </w:rPr>
              <w:t>Dara Johnson, PharmD, BCPP, BCACP</w:t>
            </w:r>
          </w:p>
        </w:tc>
        <w:tc>
          <w:tcPr>
            <w:tcW w:w="5035" w:type="dxa"/>
          </w:tcPr>
          <w:p w:rsidR="00C852DC" w:rsidP="00C852DC" w:rsidRDefault="00C852DC" w14:paraId="3F0867D3" w14:textId="77777777">
            <w:pPr>
              <w:rPr>
                <w:rFonts w:cs="Arial"/>
                <w:b/>
                <w:color w:val="1F497D" w:themeColor="text2"/>
              </w:rPr>
            </w:pPr>
          </w:p>
        </w:tc>
      </w:tr>
      <w:tr w:rsidR="00C852DC" w:rsidTr="6A46ECC6" w14:paraId="15569185" w14:textId="77777777">
        <w:tc>
          <w:tcPr>
            <w:tcW w:w="5035" w:type="dxa"/>
          </w:tcPr>
          <w:p w:rsidR="00C852DC" w:rsidP="63816CB0" w:rsidRDefault="00C852DC" w14:paraId="318DC578" w14:textId="4301F497">
            <w:pPr>
              <w:rPr>
                <w:rFonts w:cs="Arial"/>
                <w:b/>
                <w:bCs/>
                <w:color w:val="1F497D" w:themeColor="text2"/>
              </w:rPr>
            </w:pPr>
            <w:r w:rsidRPr="63816CB0">
              <w:rPr>
                <w:rFonts w:cs="Arial"/>
              </w:rPr>
              <w:t>503-893-690</w:t>
            </w:r>
            <w:r w:rsidRPr="63816CB0" w:rsidR="6C11A7A0">
              <w:rPr>
                <w:rFonts w:cs="Arial"/>
              </w:rPr>
              <w:t>0</w:t>
            </w:r>
          </w:p>
        </w:tc>
        <w:tc>
          <w:tcPr>
            <w:tcW w:w="5035" w:type="dxa"/>
          </w:tcPr>
          <w:p w:rsidR="00C852DC" w:rsidP="00C852DC" w:rsidRDefault="00C852DC" w14:paraId="26DD5D71" w14:textId="77777777">
            <w:pPr>
              <w:rPr>
                <w:rFonts w:cs="Arial"/>
                <w:b/>
                <w:color w:val="1F497D" w:themeColor="text2"/>
              </w:rPr>
            </w:pPr>
          </w:p>
        </w:tc>
      </w:tr>
      <w:tr w:rsidR="00C852DC" w:rsidTr="6A46ECC6" w14:paraId="28203C0E" w14:textId="77777777">
        <w:tc>
          <w:tcPr>
            <w:tcW w:w="5035" w:type="dxa"/>
          </w:tcPr>
          <w:p w:rsidR="00C852DC" w:rsidP="00C852DC" w:rsidRDefault="002D2F70" w14:paraId="626B3804" w14:textId="134A9CE0">
            <w:pPr>
              <w:rPr>
                <w:rFonts w:cs="Arial"/>
                <w:b/>
                <w:color w:val="1F497D" w:themeColor="text2"/>
              </w:rPr>
            </w:pPr>
            <w:hyperlink w:history="1" r:id="rId12">
              <w:r w:rsidRPr="003461AB" w:rsidR="00C852DC">
                <w:rPr>
                  <w:rStyle w:val="Hyperlink"/>
                  <w:rFonts w:cs="Arial"/>
                </w:rPr>
                <w:t>Dara.Johnson@providence.org</w:t>
              </w:r>
            </w:hyperlink>
            <w:r w:rsidR="00C852DC">
              <w:rPr>
                <w:rFonts w:cs="Arial"/>
              </w:rPr>
              <w:tab/>
            </w:r>
          </w:p>
        </w:tc>
        <w:tc>
          <w:tcPr>
            <w:tcW w:w="5035" w:type="dxa"/>
          </w:tcPr>
          <w:p w:rsidR="00C852DC" w:rsidP="00C852DC" w:rsidRDefault="00C852DC" w14:paraId="4650E2F9" w14:textId="77777777">
            <w:pPr>
              <w:rPr>
                <w:rFonts w:cs="Arial"/>
                <w:b/>
                <w:color w:val="1F497D" w:themeColor="text2"/>
              </w:rPr>
            </w:pPr>
          </w:p>
        </w:tc>
      </w:tr>
      <w:tr w:rsidR="00C852DC" w:rsidTr="6A46ECC6" w14:paraId="40AB2DC5" w14:textId="77777777">
        <w:tc>
          <w:tcPr>
            <w:tcW w:w="5035" w:type="dxa"/>
          </w:tcPr>
          <w:p w:rsidR="00C852DC" w:rsidP="00C852DC" w:rsidRDefault="00C852DC" w14:paraId="74C0A28C" w14:textId="3808C893">
            <w:pPr>
              <w:rPr>
                <w:rFonts w:cs="Arial"/>
                <w:b/>
                <w:color w:val="1F497D" w:themeColor="text2"/>
              </w:rPr>
            </w:pPr>
          </w:p>
        </w:tc>
        <w:tc>
          <w:tcPr>
            <w:tcW w:w="5035" w:type="dxa"/>
          </w:tcPr>
          <w:p w:rsidR="00C852DC" w:rsidP="00C852DC" w:rsidRDefault="00C852DC" w14:paraId="1D28C8C7" w14:textId="77777777">
            <w:pPr>
              <w:rPr>
                <w:rFonts w:cs="Arial"/>
                <w:b/>
                <w:color w:val="1F497D" w:themeColor="text2"/>
              </w:rPr>
            </w:pPr>
          </w:p>
        </w:tc>
      </w:tr>
      <w:tr w:rsidR="00C852DC" w:rsidTr="6A46ECC6" w14:paraId="7D90A128" w14:textId="77777777">
        <w:tc>
          <w:tcPr>
            <w:tcW w:w="5035" w:type="dxa"/>
          </w:tcPr>
          <w:p w:rsidR="00C852DC" w:rsidP="00C852DC" w:rsidRDefault="00C852DC" w14:paraId="113BD545" w14:textId="528108C1">
            <w:pPr>
              <w:rPr>
                <w:rFonts w:cs="Arial"/>
                <w:b/>
                <w:color w:val="1F497D" w:themeColor="text2"/>
              </w:rPr>
            </w:pPr>
            <w:r w:rsidRPr="00581C89">
              <w:rPr>
                <w:rFonts w:cs="Arial"/>
                <w:b/>
                <w:color w:val="1F497D" w:themeColor="text2"/>
              </w:rPr>
              <w:t xml:space="preserve">Residency Program </w:t>
            </w:r>
            <w:r>
              <w:rPr>
                <w:rFonts w:cs="Arial"/>
                <w:b/>
                <w:color w:val="1F497D" w:themeColor="text2"/>
              </w:rPr>
              <w:t>Coordinator</w:t>
            </w:r>
          </w:p>
        </w:tc>
        <w:tc>
          <w:tcPr>
            <w:tcW w:w="5035" w:type="dxa"/>
          </w:tcPr>
          <w:p w:rsidR="00C852DC" w:rsidP="00C852DC" w:rsidRDefault="00C852DC" w14:paraId="3F716DDE" w14:textId="7192D0F8">
            <w:pPr>
              <w:rPr>
                <w:rFonts w:cs="Arial"/>
                <w:b/>
                <w:color w:val="1F497D" w:themeColor="text2"/>
              </w:rPr>
            </w:pPr>
            <w:r w:rsidRPr="00581C89">
              <w:rPr>
                <w:rFonts w:cs="Arial"/>
                <w:b/>
                <w:color w:val="1F497D" w:themeColor="text2"/>
              </w:rPr>
              <w:t xml:space="preserve">Department </w:t>
            </w:r>
            <w:r>
              <w:rPr>
                <w:rFonts w:cs="Arial"/>
                <w:b/>
                <w:color w:val="1F497D" w:themeColor="text2"/>
              </w:rPr>
              <w:t>Coordinator</w:t>
            </w:r>
          </w:p>
        </w:tc>
      </w:tr>
      <w:tr w:rsidR="00C852DC" w:rsidTr="6A46ECC6" w14:paraId="4F3756CF" w14:textId="77777777">
        <w:tc>
          <w:tcPr>
            <w:tcW w:w="5035" w:type="dxa"/>
          </w:tcPr>
          <w:p w:rsidR="00C852DC" w:rsidP="00CE62EA" w:rsidRDefault="00C852DC" w14:paraId="12BF0BF6" w14:textId="0460A339">
            <w:pPr>
              <w:rPr>
                <w:rFonts w:cs="Arial"/>
                <w:b/>
                <w:color w:val="1F497D" w:themeColor="text2"/>
              </w:rPr>
            </w:pPr>
            <w:r w:rsidRPr="002E350B">
              <w:rPr>
                <w:rFonts w:cs="Arial"/>
              </w:rPr>
              <w:t xml:space="preserve">Kristin Tallman, PharmD, </w:t>
            </w:r>
            <w:r>
              <w:rPr>
                <w:rFonts w:cs="Arial"/>
              </w:rPr>
              <w:t xml:space="preserve">BCPS, </w:t>
            </w:r>
            <w:r w:rsidRPr="002E350B">
              <w:rPr>
                <w:rFonts w:cs="Arial"/>
              </w:rPr>
              <w:t>BCACP</w:t>
            </w:r>
          </w:p>
        </w:tc>
        <w:tc>
          <w:tcPr>
            <w:tcW w:w="5035" w:type="dxa"/>
          </w:tcPr>
          <w:p w:rsidR="00C852DC" w:rsidP="6A46ECC6" w:rsidRDefault="00C852DC" w14:paraId="463A8CC6" w14:textId="334CF730">
            <w:pPr>
              <w:rPr>
                <w:rFonts w:cs="Arial"/>
              </w:rPr>
            </w:pPr>
          </w:p>
        </w:tc>
      </w:tr>
      <w:tr w:rsidR="00C852DC" w:rsidTr="6A46ECC6" w14:paraId="3D035398" w14:textId="77777777">
        <w:tc>
          <w:tcPr>
            <w:tcW w:w="5035" w:type="dxa"/>
          </w:tcPr>
          <w:p w:rsidRPr="00A949D4" w:rsidR="00C852DC" w:rsidP="00C852DC" w:rsidRDefault="00C852DC" w14:paraId="28EEAC0A" w14:textId="73FAF9A1">
            <w:pPr>
              <w:rPr>
                <w:rFonts w:cs="Arial"/>
              </w:rPr>
            </w:pPr>
            <w:r w:rsidRPr="63816CB0">
              <w:rPr>
                <w:rFonts w:cs="Arial"/>
              </w:rPr>
              <w:t>503-893-</w:t>
            </w:r>
            <w:r w:rsidRPr="63816CB0" w:rsidR="7092486C">
              <w:rPr>
                <w:rFonts w:cs="Arial"/>
              </w:rPr>
              <w:t>6900</w:t>
            </w:r>
          </w:p>
        </w:tc>
        <w:tc>
          <w:tcPr>
            <w:tcW w:w="5035" w:type="dxa"/>
          </w:tcPr>
          <w:p w:rsidR="00C852DC" w:rsidP="6A46ECC6" w:rsidRDefault="00C852DC" w14:paraId="674AD612" w14:textId="16205F66">
            <w:pPr>
              <w:rPr>
                <w:rFonts w:cs="Arial"/>
              </w:rPr>
            </w:pPr>
          </w:p>
        </w:tc>
      </w:tr>
      <w:tr w:rsidR="00C852DC" w:rsidTr="6A46ECC6" w14:paraId="17CFD625" w14:textId="77777777">
        <w:tc>
          <w:tcPr>
            <w:tcW w:w="5035" w:type="dxa"/>
          </w:tcPr>
          <w:p w:rsidR="00C852DC" w:rsidP="00CE62EA" w:rsidRDefault="002D2F70" w14:paraId="3D464966" w14:textId="44F8CB6A">
            <w:pPr>
              <w:rPr>
                <w:rFonts w:cs="Arial"/>
                <w:b/>
                <w:color w:val="1F497D" w:themeColor="text2"/>
              </w:rPr>
            </w:pPr>
            <w:hyperlink w:history="1" r:id="rId13">
              <w:r w:rsidRPr="005C71F3" w:rsidR="00C852DC">
                <w:rPr>
                  <w:rStyle w:val="Hyperlink"/>
                  <w:rFonts w:cs="Arial"/>
                </w:rPr>
                <w:t>Kristin.Tallman@providence.org</w:t>
              </w:r>
            </w:hyperlink>
          </w:p>
        </w:tc>
        <w:tc>
          <w:tcPr>
            <w:tcW w:w="5035" w:type="dxa"/>
          </w:tcPr>
          <w:p w:rsidR="00C852DC" w:rsidP="6A46ECC6" w:rsidRDefault="00C852DC" w14:paraId="4C7AA319" w14:textId="4B75A070">
            <w:pPr>
              <w:rPr>
                <w:rFonts w:cs="Arial"/>
              </w:rPr>
            </w:pPr>
          </w:p>
        </w:tc>
      </w:tr>
      <w:tr w:rsidR="00C852DC" w:rsidTr="6A46ECC6" w14:paraId="0620275F" w14:textId="77777777">
        <w:tc>
          <w:tcPr>
            <w:tcW w:w="5035" w:type="dxa"/>
          </w:tcPr>
          <w:p w:rsidR="00C852DC" w:rsidP="00C852DC" w:rsidRDefault="00C852DC" w14:paraId="5FC9852B" w14:textId="7C00ED8C">
            <w:pPr>
              <w:rPr>
                <w:rFonts w:cs="Arial"/>
                <w:b/>
                <w:color w:val="1F497D" w:themeColor="text2"/>
              </w:rPr>
            </w:pPr>
          </w:p>
        </w:tc>
        <w:tc>
          <w:tcPr>
            <w:tcW w:w="5035" w:type="dxa"/>
          </w:tcPr>
          <w:p w:rsidR="00C852DC" w:rsidP="00C852DC" w:rsidRDefault="00C852DC" w14:paraId="51069F75" w14:textId="77777777">
            <w:pPr>
              <w:rPr>
                <w:rFonts w:cs="Arial"/>
                <w:b/>
                <w:color w:val="1F497D" w:themeColor="text2"/>
              </w:rPr>
            </w:pPr>
          </w:p>
        </w:tc>
      </w:tr>
      <w:tr w:rsidR="00C852DC" w:rsidTr="6A46ECC6" w14:paraId="664C127B" w14:textId="77777777">
        <w:tc>
          <w:tcPr>
            <w:tcW w:w="10070" w:type="dxa"/>
            <w:gridSpan w:val="2"/>
          </w:tcPr>
          <w:p w:rsidR="00C852DC" w:rsidP="00A949D4" w:rsidRDefault="00C852DC" w14:paraId="2AF3CEAA" w14:textId="48E5E159">
            <w:pPr>
              <w:jc w:val="center"/>
              <w:rPr>
                <w:rFonts w:cs="Arial"/>
                <w:b/>
                <w:color w:val="1F497D" w:themeColor="text2"/>
              </w:rPr>
            </w:pPr>
            <w:r>
              <w:rPr>
                <w:rFonts w:cs="Arial"/>
                <w:b/>
                <w:color w:val="1F497D" w:themeColor="text2"/>
              </w:rPr>
              <w:t>PGY2 Ambulatory Care Residency-Central Point</w:t>
            </w:r>
          </w:p>
        </w:tc>
      </w:tr>
      <w:tr w:rsidR="00C852DC" w:rsidTr="6A46ECC6" w14:paraId="0DC42A06" w14:textId="77777777">
        <w:tc>
          <w:tcPr>
            <w:tcW w:w="5035" w:type="dxa"/>
          </w:tcPr>
          <w:p w:rsidR="00C852DC" w:rsidP="00C852DC" w:rsidRDefault="00C852DC" w14:paraId="6DB65223" w14:textId="77777777">
            <w:pPr>
              <w:rPr>
                <w:rFonts w:cs="Arial"/>
                <w:b/>
                <w:color w:val="1F497D" w:themeColor="text2"/>
              </w:rPr>
            </w:pPr>
          </w:p>
        </w:tc>
        <w:tc>
          <w:tcPr>
            <w:tcW w:w="5035" w:type="dxa"/>
          </w:tcPr>
          <w:p w:rsidR="00C852DC" w:rsidP="00C852DC" w:rsidRDefault="00C852DC" w14:paraId="0679E7F4" w14:textId="77777777">
            <w:pPr>
              <w:rPr>
                <w:rFonts w:cs="Arial"/>
                <w:b/>
                <w:color w:val="1F497D" w:themeColor="text2"/>
              </w:rPr>
            </w:pPr>
          </w:p>
        </w:tc>
      </w:tr>
      <w:tr w:rsidR="00C852DC" w:rsidTr="6A46ECC6" w14:paraId="1C9BF4B5" w14:textId="77777777">
        <w:tc>
          <w:tcPr>
            <w:tcW w:w="5035" w:type="dxa"/>
          </w:tcPr>
          <w:p w:rsidR="00C852DC" w:rsidP="00C852DC" w:rsidRDefault="00C852DC" w14:paraId="270D3030" w14:textId="04A38FB3">
            <w:pPr>
              <w:rPr>
                <w:rFonts w:cs="Arial"/>
                <w:color w:val="1F497D" w:themeColor="text2"/>
              </w:rPr>
            </w:pPr>
            <w:r w:rsidRPr="00581C89">
              <w:rPr>
                <w:rFonts w:cs="Arial"/>
                <w:b/>
                <w:color w:val="1F497D" w:themeColor="text2"/>
              </w:rPr>
              <w:t>Residency Program Director</w:t>
            </w:r>
          </w:p>
        </w:tc>
        <w:tc>
          <w:tcPr>
            <w:tcW w:w="5035" w:type="dxa"/>
          </w:tcPr>
          <w:p w:rsidRPr="008206AF" w:rsidR="00C852DC" w:rsidP="00CE62EA" w:rsidRDefault="00C852DC" w14:paraId="3FFE5F54" w14:textId="6BA1FB21">
            <w:pPr>
              <w:rPr>
                <w:rFonts w:cs="Arial"/>
                <w:b/>
                <w:color w:val="1F497D" w:themeColor="text2"/>
              </w:rPr>
            </w:pPr>
          </w:p>
        </w:tc>
      </w:tr>
      <w:tr w:rsidR="00C852DC" w:rsidTr="6A46ECC6" w14:paraId="4EB6B807" w14:textId="77777777">
        <w:tc>
          <w:tcPr>
            <w:tcW w:w="5035" w:type="dxa"/>
          </w:tcPr>
          <w:p w:rsidR="00C852DC" w:rsidP="00C852DC" w:rsidRDefault="00C852DC" w14:paraId="26077968" w14:textId="6EFC9E07">
            <w:pPr>
              <w:rPr>
                <w:rFonts w:cs="Arial"/>
                <w:color w:val="1F497D" w:themeColor="text2"/>
              </w:rPr>
            </w:pPr>
            <w:r>
              <w:rPr>
                <w:rFonts w:cs="Arial"/>
              </w:rPr>
              <w:t xml:space="preserve">Chelsea </w:t>
            </w:r>
            <w:r w:rsidR="00B658EC">
              <w:rPr>
                <w:rFonts w:cs="Arial"/>
              </w:rPr>
              <w:t>Houshour</w:t>
            </w:r>
            <w:r w:rsidRPr="0039397D">
              <w:rPr>
                <w:rFonts w:cs="Arial"/>
              </w:rPr>
              <w:t>, PharmD</w:t>
            </w:r>
            <w:r>
              <w:rPr>
                <w:rFonts w:cs="Arial"/>
              </w:rPr>
              <w:t>, BCACP</w:t>
            </w:r>
            <w:r>
              <w:rPr>
                <w:rFonts w:cs="Arial"/>
              </w:rPr>
              <w:tab/>
            </w:r>
          </w:p>
        </w:tc>
        <w:tc>
          <w:tcPr>
            <w:tcW w:w="5035" w:type="dxa"/>
          </w:tcPr>
          <w:p w:rsidRPr="008206AF" w:rsidR="00C852DC" w:rsidP="00C852DC" w:rsidRDefault="00C852DC" w14:paraId="07C9405C" w14:textId="402BFFD9">
            <w:pPr>
              <w:rPr>
                <w:rFonts w:cs="Arial"/>
              </w:rPr>
            </w:pPr>
          </w:p>
        </w:tc>
      </w:tr>
      <w:tr w:rsidR="00C852DC" w:rsidTr="6A46ECC6" w14:paraId="46843EEA" w14:textId="77777777">
        <w:tc>
          <w:tcPr>
            <w:tcW w:w="5035" w:type="dxa"/>
          </w:tcPr>
          <w:p w:rsidR="00C852DC" w:rsidP="00C852DC" w:rsidRDefault="00C852DC" w14:paraId="52BEBDA2" w14:textId="77777777">
            <w:pPr>
              <w:rPr>
                <w:rFonts w:cs="Arial"/>
                <w:color w:val="1F497D" w:themeColor="text2"/>
              </w:rPr>
            </w:pPr>
            <w:r>
              <w:rPr>
                <w:rFonts w:cs="Arial"/>
              </w:rPr>
              <w:t>503-893-6900</w:t>
            </w:r>
          </w:p>
        </w:tc>
        <w:tc>
          <w:tcPr>
            <w:tcW w:w="5035" w:type="dxa"/>
          </w:tcPr>
          <w:p w:rsidRPr="008206AF" w:rsidR="00C852DC" w:rsidP="00C852DC" w:rsidRDefault="00C852DC" w14:paraId="7A7DC890" w14:textId="7303002B">
            <w:pPr>
              <w:rPr>
                <w:rFonts w:cs="Arial"/>
              </w:rPr>
            </w:pPr>
          </w:p>
        </w:tc>
      </w:tr>
      <w:tr w:rsidR="00C852DC" w:rsidTr="6A46ECC6" w14:paraId="6EA5FA8E" w14:textId="77777777">
        <w:tc>
          <w:tcPr>
            <w:tcW w:w="5035" w:type="dxa"/>
          </w:tcPr>
          <w:p w:rsidR="00C852DC" w:rsidP="00C852DC" w:rsidRDefault="002D2F70" w14:paraId="5A6E618F" w14:textId="77777777">
            <w:pPr>
              <w:rPr>
                <w:rFonts w:cs="Arial"/>
                <w:color w:val="1F497D" w:themeColor="text2"/>
              </w:rPr>
            </w:pPr>
            <w:hyperlink w:history="1" r:id="rId14">
              <w:r w:rsidR="00C852DC">
                <w:rPr>
                  <w:rStyle w:val="Hyperlink"/>
                  <w:rFonts w:cs="Arial"/>
                </w:rPr>
                <w:t>Chelsea.Mannebach</w:t>
              </w:r>
              <w:r w:rsidRPr="00721FC6" w:rsidR="00C852DC">
                <w:rPr>
                  <w:rStyle w:val="Hyperlink"/>
                  <w:rFonts w:cs="Arial"/>
                </w:rPr>
                <w:t>@providence.org</w:t>
              </w:r>
            </w:hyperlink>
          </w:p>
        </w:tc>
        <w:tc>
          <w:tcPr>
            <w:tcW w:w="5035" w:type="dxa"/>
          </w:tcPr>
          <w:p w:rsidR="00C852DC" w:rsidP="00C852DC" w:rsidRDefault="00C852DC" w14:paraId="57A1A0E3" w14:textId="552A77BE">
            <w:pPr>
              <w:rPr>
                <w:rFonts w:cs="Arial"/>
                <w:color w:val="1F497D" w:themeColor="text2"/>
              </w:rPr>
            </w:pPr>
          </w:p>
        </w:tc>
      </w:tr>
      <w:tr w:rsidR="00C852DC" w:rsidTr="6A46ECC6" w14:paraId="28AA55A5" w14:textId="77777777">
        <w:tc>
          <w:tcPr>
            <w:tcW w:w="5035" w:type="dxa"/>
          </w:tcPr>
          <w:p w:rsidR="00C852DC" w:rsidP="00C852DC" w:rsidRDefault="00C852DC" w14:paraId="7615B770" w14:textId="77777777">
            <w:pPr>
              <w:rPr>
                <w:rStyle w:val="Hyperlink"/>
                <w:rFonts w:cs="Arial"/>
              </w:rPr>
            </w:pPr>
          </w:p>
        </w:tc>
        <w:tc>
          <w:tcPr>
            <w:tcW w:w="5035" w:type="dxa"/>
          </w:tcPr>
          <w:p w:rsidR="00C852DC" w:rsidP="00C852DC" w:rsidRDefault="00C852DC" w14:paraId="3A2B42B1" w14:textId="77777777">
            <w:pPr>
              <w:rPr>
                <w:rStyle w:val="Hyperlink"/>
                <w:rFonts w:cs="Arial"/>
              </w:rPr>
            </w:pPr>
          </w:p>
        </w:tc>
      </w:tr>
      <w:tr w:rsidR="00CE62EA" w:rsidTr="6A46ECC6" w14:paraId="34831DE0" w14:textId="77777777">
        <w:tc>
          <w:tcPr>
            <w:tcW w:w="5035" w:type="dxa"/>
          </w:tcPr>
          <w:p w:rsidR="00CE62EA" w:rsidP="00CE62EA" w:rsidRDefault="00CE62EA" w14:paraId="7B5A1F94" w14:textId="77777777">
            <w:pPr>
              <w:rPr>
                <w:rFonts w:cs="Arial"/>
                <w:color w:val="1F497D" w:themeColor="text2"/>
              </w:rPr>
            </w:pPr>
            <w:r w:rsidRPr="00581C89">
              <w:rPr>
                <w:rFonts w:cs="Arial"/>
                <w:b/>
                <w:color w:val="1F497D" w:themeColor="text2"/>
              </w:rPr>
              <w:t>R</w:t>
            </w:r>
            <w:r>
              <w:rPr>
                <w:rFonts w:cs="Arial"/>
                <w:b/>
                <w:color w:val="1F497D" w:themeColor="text2"/>
              </w:rPr>
              <w:t>esidency Program Coordinator</w:t>
            </w:r>
          </w:p>
        </w:tc>
        <w:tc>
          <w:tcPr>
            <w:tcW w:w="5035" w:type="dxa"/>
          </w:tcPr>
          <w:p w:rsidR="00CE62EA" w:rsidP="00CE62EA" w:rsidRDefault="00CE62EA" w14:paraId="4B7A790F" w14:textId="36789DB1">
            <w:pPr>
              <w:rPr>
                <w:rFonts w:cs="Arial"/>
                <w:color w:val="1F497D" w:themeColor="text2"/>
              </w:rPr>
            </w:pPr>
            <w:r>
              <w:rPr>
                <w:rFonts w:cs="Arial"/>
                <w:b/>
                <w:color w:val="1F497D" w:themeColor="text2"/>
              </w:rPr>
              <w:t>Department Coordinator</w:t>
            </w:r>
          </w:p>
        </w:tc>
      </w:tr>
      <w:tr w:rsidR="00CE62EA" w:rsidTr="6A46ECC6" w14:paraId="2CE57D39" w14:textId="77777777">
        <w:tc>
          <w:tcPr>
            <w:tcW w:w="5035" w:type="dxa"/>
          </w:tcPr>
          <w:p w:rsidR="00CE62EA" w:rsidP="00CE62EA" w:rsidRDefault="4E2FB94E" w14:paraId="251DE3A8" w14:textId="5C6C877D">
            <w:pPr>
              <w:rPr>
                <w:rFonts w:cs="Arial"/>
                <w:color w:val="1F497D" w:themeColor="text2"/>
              </w:rPr>
            </w:pPr>
            <w:r w:rsidRPr="63816CB0">
              <w:rPr>
                <w:rFonts w:cs="Arial"/>
              </w:rPr>
              <w:t>Trevor Laursen</w:t>
            </w:r>
            <w:r w:rsidRPr="63816CB0" w:rsidR="00CE62EA">
              <w:rPr>
                <w:rFonts w:cs="Arial"/>
              </w:rPr>
              <w:t>, PharmD, BCACP</w:t>
            </w:r>
            <w:r w:rsidR="00CE62EA">
              <w:tab/>
            </w:r>
          </w:p>
        </w:tc>
        <w:tc>
          <w:tcPr>
            <w:tcW w:w="5035" w:type="dxa"/>
          </w:tcPr>
          <w:p w:rsidR="00CE62EA" w:rsidP="6A46ECC6" w:rsidRDefault="00CE62EA" w14:paraId="06B3703D" w14:textId="171762A2">
            <w:pPr>
              <w:rPr>
                <w:rFonts w:cs="Arial"/>
              </w:rPr>
            </w:pPr>
          </w:p>
        </w:tc>
      </w:tr>
      <w:tr w:rsidR="00CE62EA" w:rsidTr="6A46ECC6" w14:paraId="2D89ADC0" w14:textId="77777777">
        <w:tc>
          <w:tcPr>
            <w:tcW w:w="5035" w:type="dxa"/>
          </w:tcPr>
          <w:p w:rsidR="00CE62EA" w:rsidP="00CE62EA" w:rsidRDefault="00CE62EA" w14:paraId="7B01BBDC" w14:textId="77777777">
            <w:pPr>
              <w:rPr>
                <w:rFonts w:cs="Arial"/>
              </w:rPr>
            </w:pPr>
            <w:r>
              <w:rPr>
                <w:rFonts w:cs="Arial"/>
              </w:rPr>
              <w:t>503-893-6900</w:t>
            </w:r>
          </w:p>
        </w:tc>
        <w:tc>
          <w:tcPr>
            <w:tcW w:w="5035" w:type="dxa"/>
          </w:tcPr>
          <w:p w:rsidR="00CE62EA" w:rsidP="6A46ECC6" w:rsidRDefault="00CE62EA" w14:paraId="0C90E40E" w14:textId="3CC481A9">
            <w:pPr>
              <w:rPr>
                <w:rFonts w:cs="Arial"/>
              </w:rPr>
            </w:pPr>
          </w:p>
        </w:tc>
      </w:tr>
      <w:tr w:rsidR="00CE62EA" w:rsidTr="6A46ECC6" w14:paraId="1A75021A" w14:textId="77777777">
        <w:tc>
          <w:tcPr>
            <w:tcW w:w="5035" w:type="dxa"/>
          </w:tcPr>
          <w:p w:rsidR="00CE62EA" w:rsidP="00CE62EA" w:rsidRDefault="25512A54" w14:paraId="15DB6F3A" w14:textId="27300508">
            <w:pPr>
              <w:rPr>
                <w:rFonts w:cs="Arial"/>
                <w:color w:val="1F497D" w:themeColor="text2"/>
              </w:rPr>
            </w:pPr>
            <w:r w:rsidRPr="63816CB0">
              <w:rPr>
                <w:rStyle w:val="Hyperlink"/>
                <w:rFonts w:cs="Arial"/>
              </w:rPr>
              <w:t>Trevor</w:t>
            </w:r>
            <w:hyperlink r:id="rId15">
              <w:r w:rsidRPr="63816CB0" w:rsidR="00CE62EA">
                <w:rPr>
                  <w:rStyle w:val="Hyperlink"/>
                  <w:rFonts w:cs="Arial"/>
                </w:rPr>
                <w:t>.</w:t>
              </w:r>
              <w:r w:rsidRPr="63816CB0" w:rsidR="374862DA">
                <w:rPr>
                  <w:rStyle w:val="Hyperlink"/>
                  <w:rFonts w:cs="Arial"/>
                </w:rPr>
                <w:t>Laursen</w:t>
              </w:r>
              <w:r w:rsidRPr="63816CB0" w:rsidR="00CE62EA">
                <w:rPr>
                  <w:rStyle w:val="Hyperlink"/>
                  <w:rFonts w:cs="Arial"/>
                </w:rPr>
                <w:t>@providence.org</w:t>
              </w:r>
            </w:hyperlink>
            <w:r w:rsidR="001C1799">
              <w:tab/>
            </w:r>
          </w:p>
        </w:tc>
        <w:tc>
          <w:tcPr>
            <w:tcW w:w="5035" w:type="dxa"/>
          </w:tcPr>
          <w:p w:rsidR="00CE62EA" w:rsidP="6A46ECC6" w:rsidRDefault="00CE62EA" w14:paraId="1E46BAB2" w14:textId="0C06C6AB">
            <w:pPr>
              <w:rPr>
                <w:rFonts w:cs="Arial"/>
              </w:rPr>
            </w:pPr>
          </w:p>
        </w:tc>
      </w:tr>
    </w:tbl>
    <w:p w:rsidRPr="0039397D" w:rsidR="0001259B" w:rsidP="00F82DCD" w:rsidRDefault="0001259B" w14:paraId="554DC46B" w14:textId="42036316">
      <w:pPr>
        <w:spacing w:after="0"/>
        <w:rPr>
          <w:rFonts w:cs="Arial"/>
        </w:rPr>
      </w:pPr>
    </w:p>
    <w:p w:rsidR="0001259B" w:rsidP="00F82DCD" w:rsidRDefault="004C6108" w14:paraId="23750F72" w14:textId="77777777">
      <w:pPr>
        <w:spacing w:after="0"/>
        <w:outlineLvl w:val="0"/>
        <w:rPr>
          <w:rFonts w:cs="Arial"/>
          <w:b/>
          <w:color w:val="1F497D" w:themeColor="text2"/>
        </w:rPr>
      </w:pPr>
      <w:r w:rsidRPr="00581C89">
        <w:rPr>
          <w:rFonts w:cs="Arial"/>
          <w:b/>
          <w:color w:val="1F497D" w:themeColor="text2"/>
        </w:rPr>
        <w:t>Preceptors</w:t>
      </w:r>
    </w:p>
    <w:tbl>
      <w:tblPr>
        <w:tblStyle w:val="TableGrid"/>
        <w:tblpPr w:leftFromText="180" w:rightFromText="180" w:vertAnchor="text" w:tblpY="1"/>
        <w:tblOverlap w:val="never"/>
        <w:tblW w:w="98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0"/>
        <w:gridCol w:w="4770"/>
      </w:tblGrid>
      <w:tr w:rsidR="003156D8" w:rsidTr="571F6726" w14:paraId="014C797E" w14:textId="77777777">
        <w:trPr>
          <w:trHeight w:val="278"/>
        </w:trPr>
        <w:tc>
          <w:tcPr>
            <w:tcW w:w="5040" w:type="dxa"/>
          </w:tcPr>
          <w:p w:rsidR="00C852DC" w:rsidP="00E31F58" w:rsidRDefault="003156D8" w14:paraId="06A7764D" w14:textId="77777777">
            <w:pPr>
              <w:outlineLvl w:val="0"/>
              <w:rPr>
                <w:rFonts w:cs="Arial"/>
              </w:rPr>
            </w:pPr>
            <w:r w:rsidRPr="001B7334">
              <w:rPr>
                <w:rFonts w:cs="Arial"/>
              </w:rPr>
              <w:t>Terri Bianco, PharmD</w:t>
            </w:r>
          </w:p>
          <w:p w:rsidRPr="003156D8" w:rsidR="003156D8" w:rsidP="00E31F58" w:rsidRDefault="003156D8" w14:paraId="5CDE4255" w14:textId="5C958FBA">
            <w:pPr>
              <w:outlineLvl w:val="0"/>
              <w:rPr>
                <w:rFonts w:cs="Arial"/>
              </w:rPr>
            </w:pPr>
            <w:r w:rsidRPr="001B7334">
              <w:rPr>
                <w:rFonts w:cs="Arial"/>
              </w:rPr>
              <w:t xml:space="preserve">Director, </w:t>
            </w:r>
            <w:r w:rsidR="00C852DC">
              <w:rPr>
                <w:rFonts w:cs="Arial"/>
              </w:rPr>
              <w:t>Clinical</w:t>
            </w:r>
            <w:r w:rsidRPr="001B7334">
              <w:rPr>
                <w:rFonts w:cs="Arial"/>
              </w:rPr>
              <w:t xml:space="preserve"> Pharmac</w:t>
            </w:r>
            <w:r>
              <w:rPr>
                <w:rFonts w:cs="Arial"/>
              </w:rPr>
              <w:t>y</w:t>
            </w:r>
          </w:p>
        </w:tc>
        <w:tc>
          <w:tcPr>
            <w:tcW w:w="4770" w:type="dxa"/>
          </w:tcPr>
          <w:p w:rsidR="00C852DC" w:rsidP="00E31F58" w:rsidRDefault="005C3DF1" w14:paraId="53A42C33" w14:textId="77777777">
            <w:pPr>
              <w:rPr>
                <w:rFonts w:cs="Arial"/>
              </w:rPr>
            </w:pPr>
            <w:r>
              <w:rPr>
                <w:rFonts w:cs="Arial"/>
              </w:rPr>
              <w:t>Kristy Butler, PharmD, BCACP</w:t>
            </w:r>
          </w:p>
          <w:p w:rsidRPr="003156D8" w:rsidR="0048059E" w:rsidP="00E31F58" w:rsidRDefault="005C3DF1" w14:paraId="55A3A060" w14:textId="70B7A810">
            <w:pPr>
              <w:rPr>
                <w:rFonts w:cs="Arial"/>
              </w:rPr>
            </w:pPr>
            <w:r>
              <w:rPr>
                <w:rFonts w:cs="Arial"/>
              </w:rPr>
              <w:t>Pharmacy Manager</w:t>
            </w:r>
          </w:p>
        </w:tc>
      </w:tr>
      <w:tr w:rsidR="00C852DC" w:rsidTr="571F6726" w14:paraId="1D7DAE33" w14:textId="77777777">
        <w:trPr>
          <w:trHeight w:val="278"/>
        </w:trPr>
        <w:tc>
          <w:tcPr>
            <w:tcW w:w="5040" w:type="dxa"/>
          </w:tcPr>
          <w:p w:rsidR="00C852DC" w:rsidP="00E31F58" w:rsidRDefault="00C852DC" w14:paraId="01B57A6D" w14:textId="77777777">
            <w:pPr>
              <w:outlineLvl w:val="0"/>
              <w:rPr>
                <w:rFonts w:cs="Arial"/>
              </w:rPr>
            </w:pPr>
          </w:p>
        </w:tc>
        <w:tc>
          <w:tcPr>
            <w:tcW w:w="4770" w:type="dxa"/>
          </w:tcPr>
          <w:p w:rsidR="00C852DC" w:rsidP="00E31F58" w:rsidRDefault="00C852DC" w14:paraId="2A2661AB" w14:textId="77777777">
            <w:pPr>
              <w:rPr>
                <w:rFonts w:cs="Arial"/>
              </w:rPr>
            </w:pPr>
          </w:p>
        </w:tc>
      </w:tr>
      <w:tr w:rsidR="00CE62EA" w:rsidTr="571F6726" w14:paraId="51DBD20E" w14:textId="77777777">
        <w:trPr>
          <w:trHeight w:val="278"/>
        </w:trPr>
        <w:tc>
          <w:tcPr>
            <w:tcW w:w="5040" w:type="dxa"/>
            <w:vAlign w:val="center"/>
          </w:tcPr>
          <w:p w:rsidR="00CE62EA" w:rsidP="00CE62EA" w:rsidRDefault="00CE62EA" w14:paraId="428BFCAC" w14:textId="771A24CD">
            <w:pPr>
              <w:outlineLvl w:val="0"/>
              <w:rPr>
                <w:rFonts w:cs="Arial"/>
              </w:rPr>
            </w:pPr>
            <w:r>
              <w:rPr>
                <w:rFonts w:ascii="Calibri" w:hAnsi="Calibri" w:cs="Arial"/>
                <w:color w:val="000000"/>
              </w:rPr>
              <w:t>Abby Frye, PharmD, BCACP</w:t>
            </w:r>
          </w:p>
        </w:tc>
        <w:tc>
          <w:tcPr>
            <w:tcW w:w="4770" w:type="dxa"/>
            <w:vAlign w:val="center"/>
          </w:tcPr>
          <w:p w:rsidR="00CE62EA" w:rsidP="571F6726" w:rsidRDefault="00CE62EA" w14:paraId="0F693325" w14:textId="7B214E3F">
            <w:pPr>
              <w:rPr>
                <w:rFonts w:ascii="Calibri" w:hAnsi="Calibri" w:cs="Arial"/>
                <w:color w:val="000000" w:themeColor="text1"/>
              </w:rPr>
            </w:pPr>
          </w:p>
        </w:tc>
      </w:tr>
      <w:tr w:rsidR="00CE62EA" w:rsidTr="571F6726" w14:paraId="39B1FCD3" w14:textId="77777777">
        <w:trPr>
          <w:trHeight w:val="278"/>
        </w:trPr>
        <w:tc>
          <w:tcPr>
            <w:tcW w:w="5040" w:type="dxa"/>
            <w:vAlign w:val="center"/>
          </w:tcPr>
          <w:p w:rsidR="00CE62EA" w:rsidP="00CE62EA" w:rsidRDefault="00CE62EA" w14:paraId="226ED03D" w14:textId="6C03353E">
            <w:pPr>
              <w:outlineLvl w:val="0"/>
              <w:rPr>
                <w:rFonts w:ascii="Calibri" w:hAnsi="Calibri" w:cs="Arial"/>
                <w:color w:val="000000"/>
              </w:rPr>
            </w:pPr>
            <w:r>
              <w:rPr>
                <w:rFonts w:ascii="Calibri" w:hAnsi="Calibri" w:cs="Arial"/>
                <w:color w:val="000000"/>
              </w:rPr>
              <w:t>Benjamin Rosati, PharmD, BCACP</w:t>
            </w:r>
          </w:p>
        </w:tc>
        <w:tc>
          <w:tcPr>
            <w:tcW w:w="4770" w:type="dxa"/>
            <w:vAlign w:val="center"/>
          </w:tcPr>
          <w:p w:rsidR="00CE62EA" w:rsidP="63816CB0" w:rsidRDefault="7767A77A" w14:paraId="10376F35" w14:textId="78BFDF4D">
            <w:pPr>
              <w:rPr>
                <w:rFonts w:ascii="Calibri" w:hAnsi="Calibri" w:cs="Arial"/>
                <w:color w:val="000000"/>
              </w:rPr>
            </w:pPr>
            <w:r w:rsidRPr="63816CB0">
              <w:rPr>
                <w:rFonts w:ascii="Calibri" w:hAnsi="Calibri" w:cs="Arial"/>
                <w:color w:val="000000" w:themeColor="text1"/>
              </w:rPr>
              <w:t>Zachary Conroy, PharmD, BCACP</w:t>
            </w:r>
          </w:p>
        </w:tc>
      </w:tr>
      <w:tr w:rsidR="00CE62EA" w:rsidTr="571F6726" w14:paraId="4D46479F" w14:textId="77777777">
        <w:trPr>
          <w:trHeight w:val="278"/>
        </w:trPr>
        <w:tc>
          <w:tcPr>
            <w:tcW w:w="5040" w:type="dxa"/>
            <w:vAlign w:val="center"/>
          </w:tcPr>
          <w:p w:rsidR="00CE62EA" w:rsidP="00CE62EA" w:rsidRDefault="00CE62EA" w14:paraId="27C010B3" w14:textId="65110477">
            <w:pPr>
              <w:outlineLvl w:val="0"/>
              <w:rPr>
                <w:rFonts w:ascii="Calibri" w:hAnsi="Calibri" w:cs="Arial"/>
                <w:color w:val="000000"/>
              </w:rPr>
            </w:pPr>
            <w:r>
              <w:rPr>
                <w:rFonts w:ascii="Calibri" w:hAnsi="Calibri" w:cs="Arial"/>
                <w:color w:val="000000"/>
              </w:rPr>
              <w:t>Bonnie Jiron, PharmD, BCACP</w:t>
            </w:r>
          </w:p>
        </w:tc>
        <w:tc>
          <w:tcPr>
            <w:tcW w:w="4770" w:type="dxa"/>
            <w:vAlign w:val="center"/>
          </w:tcPr>
          <w:p w:rsidR="00CE62EA" w:rsidP="00CE62EA" w:rsidRDefault="00CE62EA" w14:paraId="0E4D79CC" w14:textId="02F751FD">
            <w:pPr>
              <w:rPr>
                <w:rFonts w:ascii="Calibri" w:hAnsi="Calibri" w:cs="Arial"/>
                <w:color w:val="000000"/>
              </w:rPr>
            </w:pPr>
            <w:r>
              <w:rPr>
                <w:rFonts w:cs="Arial"/>
              </w:rPr>
              <w:t>Katie Hufft, PharmD, BCPS</w:t>
            </w:r>
          </w:p>
        </w:tc>
      </w:tr>
      <w:tr w:rsidR="00CE62EA" w:rsidTr="571F6726" w14:paraId="754E965A" w14:textId="77777777">
        <w:trPr>
          <w:trHeight w:val="278"/>
        </w:trPr>
        <w:tc>
          <w:tcPr>
            <w:tcW w:w="5040" w:type="dxa"/>
            <w:vAlign w:val="center"/>
          </w:tcPr>
          <w:p w:rsidR="00CE62EA" w:rsidP="00CE62EA" w:rsidRDefault="00CE62EA" w14:paraId="6F321828" w14:textId="138C286B">
            <w:pPr>
              <w:outlineLvl w:val="0"/>
              <w:rPr>
                <w:rFonts w:ascii="Calibri" w:hAnsi="Calibri" w:cs="Arial"/>
                <w:color w:val="000000"/>
              </w:rPr>
            </w:pPr>
            <w:r>
              <w:rPr>
                <w:rFonts w:ascii="Calibri" w:hAnsi="Calibri" w:cs="Arial"/>
                <w:color w:val="000000"/>
              </w:rPr>
              <w:t>Brianna Patacini, PharmD, BCACP, CDE</w:t>
            </w:r>
          </w:p>
        </w:tc>
        <w:tc>
          <w:tcPr>
            <w:tcW w:w="4770" w:type="dxa"/>
            <w:vAlign w:val="center"/>
          </w:tcPr>
          <w:p w:rsidR="00CE62EA" w:rsidP="63816CB0" w:rsidRDefault="5748A263" w14:paraId="6FD5BA07" w14:textId="6E090B76">
            <w:pPr>
              <w:outlineLvl w:val="0"/>
              <w:rPr>
                <w:rFonts w:ascii="Calibri" w:hAnsi="Calibri" w:cs="Arial"/>
                <w:color w:val="000000"/>
              </w:rPr>
            </w:pPr>
            <w:r w:rsidRPr="63816CB0">
              <w:rPr>
                <w:rFonts w:ascii="Calibri" w:hAnsi="Calibri" w:cs="Arial"/>
                <w:color w:val="000000" w:themeColor="text1"/>
              </w:rPr>
              <w:t>Judy Wong, PharmD, BCACP</w:t>
            </w:r>
          </w:p>
        </w:tc>
      </w:tr>
      <w:tr w:rsidR="00CE62EA" w:rsidTr="571F6726" w14:paraId="19199673" w14:textId="77777777">
        <w:trPr>
          <w:trHeight w:val="278"/>
        </w:trPr>
        <w:tc>
          <w:tcPr>
            <w:tcW w:w="5040" w:type="dxa"/>
            <w:vAlign w:val="center"/>
          </w:tcPr>
          <w:p w:rsidR="00CE62EA" w:rsidP="00CE62EA" w:rsidRDefault="00CE62EA" w14:paraId="63E38C80" w14:textId="1C3CF4E0">
            <w:pPr>
              <w:outlineLvl w:val="0"/>
              <w:rPr>
                <w:rFonts w:cs="Arial"/>
              </w:rPr>
            </w:pPr>
            <w:r>
              <w:rPr>
                <w:rFonts w:ascii="Calibri" w:hAnsi="Calibri" w:cs="Arial"/>
                <w:color w:val="000000"/>
              </w:rPr>
              <w:t>Catherine Behret, PharmD, BCACP</w:t>
            </w:r>
          </w:p>
        </w:tc>
        <w:tc>
          <w:tcPr>
            <w:tcW w:w="4770" w:type="dxa"/>
            <w:vAlign w:val="center"/>
          </w:tcPr>
          <w:p w:rsidR="00CE62EA" w:rsidP="00CE62EA" w:rsidRDefault="00CE62EA" w14:paraId="2B91F2BA" w14:textId="6EFA87E9">
            <w:pPr>
              <w:rPr>
                <w:rFonts w:cs="Arial"/>
              </w:rPr>
            </w:pPr>
            <w:r>
              <w:rPr>
                <w:rFonts w:ascii="Calibri" w:hAnsi="Calibri" w:cs="Arial"/>
                <w:color w:val="000000"/>
              </w:rPr>
              <w:t>Kristin Tallman, PharmD, BCPS, BCACP</w:t>
            </w:r>
          </w:p>
        </w:tc>
      </w:tr>
      <w:tr w:rsidR="00CE62EA" w:rsidTr="571F6726" w14:paraId="0B170D8B" w14:textId="77777777">
        <w:trPr>
          <w:trHeight w:val="278"/>
        </w:trPr>
        <w:tc>
          <w:tcPr>
            <w:tcW w:w="5040" w:type="dxa"/>
            <w:vAlign w:val="center"/>
          </w:tcPr>
          <w:p w:rsidR="00CE62EA" w:rsidP="00CE62EA" w:rsidRDefault="00CE62EA" w14:paraId="25B33EE0" w14:textId="55A69CE0">
            <w:pPr>
              <w:ind w:left="720" w:hanging="720"/>
              <w:outlineLvl w:val="0"/>
              <w:rPr>
                <w:rFonts w:ascii="Calibri" w:hAnsi="Calibri" w:cs="Arial"/>
                <w:color w:val="000000"/>
              </w:rPr>
            </w:pPr>
            <w:r w:rsidRPr="2C0F122A">
              <w:rPr>
                <w:rFonts w:ascii="Calibri" w:hAnsi="Calibri" w:cs="Arial"/>
                <w:color w:val="000000" w:themeColor="text1"/>
              </w:rPr>
              <w:t xml:space="preserve">Chelsea </w:t>
            </w:r>
            <w:r w:rsidRPr="2C0F122A" w:rsidR="37ACFBEE">
              <w:rPr>
                <w:rFonts w:ascii="Calibri" w:hAnsi="Calibri" w:cs="Arial"/>
                <w:color w:val="000000" w:themeColor="text1"/>
              </w:rPr>
              <w:t>Houshour</w:t>
            </w:r>
            <w:r w:rsidRPr="2C0F122A">
              <w:rPr>
                <w:rFonts w:ascii="Calibri" w:hAnsi="Calibri" w:cs="Arial"/>
                <w:color w:val="000000" w:themeColor="text1"/>
              </w:rPr>
              <w:t>, PharmD, BCACP</w:t>
            </w:r>
          </w:p>
        </w:tc>
        <w:tc>
          <w:tcPr>
            <w:tcW w:w="4770" w:type="dxa"/>
            <w:vAlign w:val="center"/>
          </w:tcPr>
          <w:p w:rsidR="00CE62EA" w:rsidP="00CE62EA" w:rsidRDefault="00CE62EA" w14:paraId="687FD4E4" w14:textId="6C497571">
            <w:pPr>
              <w:rPr>
                <w:rFonts w:ascii="Calibri" w:hAnsi="Calibri" w:cs="Arial"/>
                <w:color w:val="000000"/>
              </w:rPr>
            </w:pPr>
            <w:r>
              <w:rPr>
                <w:rFonts w:ascii="Calibri" w:hAnsi="Calibri" w:cs="Arial"/>
                <w:color w:val="000000"/>
              </w:rPr>
              <w:t>Lauren Powell, PharmD, BCACP</w:t>
            </w:r>
          </w:p>
        </w:tc>
      </w:tr>
      <w:tr w:rsidR="00CE62EA" w:rsidTr="571F6726" w14:paraId="48693301" w14:textId="77777777">
        <w:trPr>
          <w:trHeight w:val="278"/>
        </w:trPr>
        <w:tc>
          <w:tcPr>
            <w:tcW w:w="5040" w:type="dxa"/>
            <w:vAlign w:val="center"/>
          </w:tcPr>
          <w:p w:rsidR="00CE62EA" w:rsidP="00CE62EA" w:rsidRDefault="00CE62EA" w14:paraId="44DF0B2C" w14:textId="1024BBE8">
            <w:pPr>
              <w:outlineLvl w:val="0"/>
              <w:rPr>
                <w:rFonts w:cs="Arial"/>
              </w:rPr>
            </w:pPr>
            <w:r>
              <w:rPr>
                <w:rFonts w:ascii="Calibri" w:hAnsi="Calibri" w:cs="Arial"/>
                <w:color w:val="000000"/>
              </w:rPr>
              <w:t>Christine Doran, PharmD, BCACP, BMA</w:t>
            </w:r>
          </w:p>
        </w:tc>
        <w:tc>
          <w:tcPr>
            <w:tcW w:w="4770" w:type="dxa"/>
            <w:vAlign w:val="center"/>
          </w:tcPr>
          <w:p w:rsidR="00CE62EA" w:rsidP="00CE62EA" w:rsidRDefault="00CE62EA" w14:paraId="3BBC788B" w14:textId="730B3608">
            <w:pPr>
              <w:rPr>
                <w:rFonts w:cs="Arial"/>
              </w:rPr>
            </w:pPr>
            <w:r>
              <w:rPr>
                <w:rFonts w:ascii="Calibri" w:hAnsi="Calibri" w:cs="Arial"/>
                <w:color w:val="000000"/>
              </w:rPr>
              <w:t>Nanette Bultemeier, PharmD, BCPS, BC-ADM, CDE</w:t>
            </w:r>
          </w:p>
        </w:tc>
      </w:tr>
      <w:tr w:rsidR="00CE62EA" w:rsidTr="571F6726" w14:paraId="651336CA" w14:textId="77777777">
        <w:trPr>
          <w:trHeight w:val="278"/>
        </w:trPr>
        <w:tc>
          <w:tcPr>
            <w:tcW w:w="5040" w:type="dxa"/>
            <w:vAlign w:val="center"/>
          </w:tcPr>
          <w:p w:rsidR="00CE62EA" w:rsidP="00CE62EA" w:rsidRDefault="00CE62EA" w14:paraId="245A1D96" w14:textId="2375A36C">
            <w:pPr>
              <w:outlineLvl w:val="0"/>
              <w:rPr>
                <w:rFonts w:ascii="Calibri" w:hAnsi="Calibri" w:cs="Arial"/>
                <w:color w:val="000000"/>
              </w:rPr>
            </w:pPr>
            <w:r>
              <w:rPr>
                <w:rFonts w:ascii="Calibri" w:hAnsi="Calibri" w:cs="Arial"/>
                <w:color w:val="000000"/>
              </w:rPr>
              <w:t>Clara Mikhaeil, PharmD, BCPS</w:t>
            </w:r>
          </w:p>
        </w:tc>
        <w:tc>
          <w:tcPr>
            <w:tcW w:w="4770" w:type="dxa"/>
            <w:vAlign w:val="center"/>
          </w:tcPr>
          <w:p w:rsidR="00CE62EA" w:rsidP="00CE62EA" w:rsidRDefault="00CE62EA" w14:paraId="302DB8B1" w14:textId="53F6ACB7">
            <w:pPr>
              <w:rPr>
                <w:rFonts w:ascii="Calibri" w:hAnsi="Calibri" w:cs="Arial"/>
                <w:color w:val="000000"/>
              </w:rPr>
            </w:pPr>
            <w:r>
              <w:rPr>
                <w:rFonts w:cs="Arial"/>
              </w:rPr>
              <w:t>Natsuki (Suki) Kubotera, PharmD, BCPS*</w:t>
            </w:r>
          </w:p>
        </w:tc>
      </w:tr>
      <w:tr w:rsidR="00CE62EA" w:rsidTr="571F6726" w14:paraId="332A077F" w14:textId="77777777">
        <w:trPr>
          <w:trHeight w:val="278"/>
        </w:trPr>
        <w:tc>
          <w:tcPr>
            <w:tcW w:w="5040" w:type="dxa"/>
            <w:vAlign w:val="center"/>
          </w:tcPr>
          <w:p w:rsidR="00CE62EA" w:rsidP="00CE62EA" w:rsidRDefault="00CE62EA" w14:paraId="6FB4A6C5" w14:textId="504F52DF">
            <w:pPr>
              <w:outlineLvl w:val="0"/>
              <w:rPr>
                <w:rFonts w:cs="Arial"/>
              </w:rPr>
            </w:pPr>
            <w:r>
              <w:rPr>
                <w:rFonts w:ascii="Calibri" w:hAnsi="Calibri" w:cs="Arial"/>
                <w:color w:val="000000"/>
              </w:rPr>
              <w:t>Dara Johnson, PharmD, BCPP, BCACP</w:t>
            </w:r>
          </w:p>
        </w:tc>
        <w:tc>
          <w:tcPr>
            <w:tcW w:w="4770" w:type="dxa"/>
            <w:vAlign w:val="center"/>
          </w:tcPr>
          <w:p w:rsidR="00CE62EA" w:rsidP="00CE62EA" w:rsidRDefault="00CE62EA" w14:paraId="006EBBDF" w14:textId="394CBD86">
            <w:pPr>
              <w:rPr>
                <w:rFonts w:cs="Arial"/>
              </w:rPr>
            </w:pPr>
            <w:r>
              <w:rPr>
                <w:rFonts w:cs="Arial"/>
              </w:rPr>
              <w:t>Sarah Jane Faro, PharmD, BCPS, BCOP*</w:t>
            </w:r>
          </w:p>
        </w:tc>
      </w:tr>
      <w:tr w:rsidR="00CE62EA" w:rsidTr="571F6726" w14:paraId="3BF63F1C" w14:textId="77777777">
        <w:trPr>
          <w:trHeight w:val="278"/>
        </w:trPr>
        <w:tc>
          <w:tcPr>
            <w:tcW w:w="5040" w:type="dxa"/>
            <w:vAlign w:val="center"/>
          </w:tcPr>
          <w:p w:rsidR="00CE62EA" w:rsidP="00CE62EA" w:rsidRDefault="00CE62EA" w14:paraId="77E4853A" w14:textId="492D7A13">
            <w:pPr>
              <w:outlineLvl w:val="0"/>
              <w:rPr>
                <w:rFonts w:ascii="Calibri" w:hAnsi="Calibri" w:cs="Arial"/>
                <w:color w:val="000000"/>
              </w:rPr>
            </w:pPr>
            <w:r>
              <w:rPr>
                <w:rFonts w:ascii="Calibri" w:hAnsi="Calibri" w:cs="Arial"/>
                <w:color w:val="000000"/>
              </w:rPr>
              <w:t>Dawn Fuke, PharmD, BCPS</w:t>
            </w:r>
          </w:p>
        </w:tc>
        <w:tc>
          <w:tcPr>
            <w:tcW w:w="4770" w:type="dxa"/>
            <w:vAlign w:val="center"/>
          </w:tcPr>
          <w:p w:rsidR="00CE62EA" w:rsidP="00CE62EA" w:rsidRDefault="00CE62EA" w14:paraId="14D7F59D" w14:textId="500F9DBD">
            <w:pPr>
              <w:rPr>
                <w:rFonts w:ascii="Calibri" w:hAnsi="Calibri" w:cs="Arial"/>
                <w:color w:val="000000"/>
              </w:rPr>
            </w:pPr>
            <w:r>
              <w:rPr>
                <w:rFonts w:cs="Arial"/>
              </w:rPr>
              <w:t>Sharon Leigh, PharmD, BCPS*</w:t>
            </w:r>
          </w:p>
        </w:tc>
      </w:tr>
      <w:tr w:rsidR="00CE62EA" w:rsidTr="571F6726" w14:paraId="1471CC51" w14:textId="77777777">
        <w:trPr>
          <w:trHeight w:val="278"/>
        </w:trPr>
        <w:tc>
          <w:tcPr>
            <w:tcW w:w="5040" w:type="dxa"/>
            <w:vAlign w:val="center"/>
          </w:tcPr>
          <w:p w:rsidR="00CE62EA" w:rsidP="00CE62EA" w:rsidRDefault="00CE62EA" w14:paraId="0057FBA8" w14:textId="2123B8CF">
            <w:pPr>
              <w:outlineLvl w:val="0"/>
              <w:rPr>
                <w:rFonts w:ascii="Calibri" w:hAnsi="Calibri" w:cs="Arial"/>
                <w:color w:val="000000"/>
              </w:rPr>
            </w:pPr>
            <w:r>
              <w:rPr>
                <w:rFonts w:ascii="Calibri" w:hAnsi="Calibri" w:cs="Arial"/>
                <w:color w:val="000000"/>
              </w:rPr>
              <w:t>Diana Fischer, PharmD, BCPS</w:t>
            </w:r>
          </w:p>
        </w:tc>
        <w:tc>
          <w:tcPr>
            <w:tcW w:w="4770" w:type="dxa"/>
            <w:vAlign w:val="center"/>
          </w:tcPr>
          <w:p w:rsidR="00CE62EA" w:rsidP="00CE62EA" w:rsidRDefault="00CE62EA" w14:paraId="4A5E0850" w14:textId="2257E61D">
            <w:pPr>
              <w:rPr>
                <w:rFonts w:cs="Arial"/>
              </w:rPr>
            </w:pPr>
            <w:r>
              <w:rPr>
                <w:rFonts w:cs="Arial"/>
              </w:rPr>
              <w:t>Susan (Susie) Fedler, PharmD, BCACP</w:t>
            </w:r>
          </w:p>
        </w:tc>
      </w:tr>
      <w:tr w:rsidR="00CE62EA" w:rsidTr="571F6726" w14:paraId="526AD175" w14:textId="77777777">
        <w:trPr>
          <w:trHeight w:val="278"/>
        </w:trPr>
        <w:tc>
          <w:tcPr>
            <w:tcW w:w="5040" w:type="dxa"/>
            <w:vAlign w:val="center"/>
          </w:tcPr>
          <w:p w:rsidR="00CE62EA" w:rsidP="00CE62EA" w:rsidRDefault="00CE62EA" w14:paraId="66A851A3" w14:textId="5940B476">
            <w:pPr>
              <w:outlineLvl w:val="0"/>
              <w:rPr>
                <w:rFonts w:cs="Arial"/>
              </w:rPr>
            </w:pPr>
            <w:r>
              <w:rPr>
                <w:rFonts w:ascii="Calibri" w:hAnsi="Calibri" w:cs="Arial"/>
                <w:color w:val="000000"/>
              </w:rPr>
              <w:t>Ghazaleh (Giselle) Sharifi, PharmD, BCPS</w:t>
            </w:r>
          </w:p>
        </w:tc>
        <w:tc>
          <w:tcPr>
            <w:tcW w:w="4770" w:type="dxa"/>
            <w:vAlign w:val="center"/>
          </w:tcPr>
          <w:p w:rsidR="00CE62EA" w:rsidP="00CE62EA" w:rsidRDefault="00CE62EA" w14:paraId="6250D791" w14:textId="608B40C5">
            <w:pPr>
              <w:rPr>
                <w:rFonts w:cs="Arial"/>
              </w:rPr>
            </w:pPr>
            <w:r>
              <w:rPr>
                <w:rFonts w:ascii="Calibri" w:hAnsi="Calibri" w:cs="Arial"/>
                <w:color w:val="000000"/>
              </w:rPr>
              <w:t>Teresa Maddalone Swift, PharmD, BCPS</w:t>
            </w:r>
          </w:p>
        </w:tc>
      </w:tr>
      <w:tr w:rsidR="00CE62EA" w:rsidTr="571F6726" w14:paraId="2B3FBC69" w14:textId="77777777">
        <w:trPr>
          <w:trHeight w:val="278"/>
        </w:trPr>
        <w:tc>
          <w:tcPr>
            <w:tcW w:w="5040" w:type="dxa"/>
            <w:vAlign w:val="center"/>
          </w:tcPr>
          <w:p w:rsidR="00CE62EA" w:rsidP="00CE62EA" w:rsidRDefault="00CE62EA" w14:paraId="32AD0E95" w14:textId="53E703D7">
            <w:pPr>
              <w:outlineLvl w:val="0"/>
              <w:rPr>
                <w:rFonts w:ascii="Calibri" w:hAnsi="Calibri" w:cs="Arial"/>
                <w:color w:val="000000"/>
              </w:rPr>
            </w:pPr>
            <w:r>
              <w:rPr>
                <w:rFonts w:ascii="Calibri" w:hAnsi="Calibri" w:cs="Arial"/>
                <w:color w:val="000000"/>
              </w:rPr>
              <w:t>Jayme Johnston, PharmD, BCACP</w:t>
            </w:r>
          </w:p>
        </w:tc>
        <w:tc>
          <w:tcPr>
            <w:tcW w:w="4770" w:type="dxa"/>
            <w:vAlign w:val="center"/>
          </w:tcPr>
          <w:p w:rsidR="00CE62EA" w:rsidP="00CE62EA" w:rsidRDefault="00CE62EA" w14:paraId="34152BD8" w14:textId="439005CA">
            <w:pPr>
              <w:rPr>
                <w:rFonts w:ascii="Calibri" w:hAnsi="Calibri" w:cs="Arial"/>
                <w:color w:val="000000"/>
              </w:rPr>
            </w:pPr>
            <w:r w:rsidRPr="2C0F122A">
              <w:rPr>
                <w:rFonts w:ascii="Calibri" w:hAnsi="Calibri" w:cs="Arial"/>
                <w:color w:val="000000" w:themeColor="text1"/>
              </w:rPr>
              <w:t>Trevor Laursen, PharmD</w:t>
            </w:r>
            <w:r w:rsidRPr="2C0F122A" w:rsidR="665F3AF9">
              <w:rPr>
                <w:rFonts w:ascii="Calibri" w:hAnsi="Calibri" w:cs="Arial"/>
                <w:color w:val="000000" w:themeColor="text1"/>
              </w:rPr>
              <w:t>, BCACP</w:t>
            </w:r>
          </w:p>
        </w:tc>
      </w:tr>
      <w:tr w:rsidR="00CE62EA" w:rsidTr="571F6726" w14:paraId="2325476B" w14:textId="77777777">
        <w:trPr>
          <w:trHeight w:val="278"/>
        </w:trPr>
        <w:tc>
          <w:tcPr>
            <w:tcW w:w="5040" w:type="dxa"/>
            <w:vAlign w:val="center"/>
          </w:tcPr>
          <w:p w:rsidR="00CE62EA" w:rsidP="00CE62EA" w:rsidRDefault="00CE62EA" w14:paraId="57CC858B" w14:textId="78118A61">
            <w:pPr>
              <w:outlineLvl w:val="0"/>
              <w:rPr>
                <w:rFonts w:cs="Arial"/>
              </w:rPr>
            </w:pPr>
            <w:r>
              <w:rPr>
                <w:rFonts w:ascii="Calibri" w:hAnsi="Calibri" w:cs="Arial"/>
                <w:color w:val="000000"/>
              </w:rPr>
              <w:t>John Begert, PharmD, BCACP*</w:t>
            </w:r>
          </w:p>
        </w:tc>
        <w:tc>
          <w:tcPr>
            <w:tcW w:w="4770" w:type="dxa"/>
            <w:vAlign w:val="center"/>
          </w:tcPr>
          <w:p w:rsidR="00CE62EA" w:rsidP="00CE62EA" w:rsidRDefault="00CE62EA" w14:paraId="5C2C1B6F" w14:textId="12AC9CD7">
            <w:pPr>
              <w:rPr>
                <w:rFonts w:cs="Arial"/>
              </w:rPr>
            </w:pPr>
            <w:r>
              <w:rPr>
                <w:rFonts w:ascii="Calibri" w:hAnsi="Calibri" w:cs="Arial"/>
                <w:color w:val="000000"/>
              </w:rPr>
              <w:t>Vivian Tang, PharmD, BCACP</w:t>
            </w:r>
          </w:p>
        </w:tc>
      </w:tr>
      <w:tr w:rsidR="00CE62EA" w:rsidTr="571F6726" w14:paraId="001D48FC" w14:textId="77777777">
        <w:trPr>
          <w:trHeight w:val="278"/>
        </w:trPr>
        <w:tc>
          <w:tcPr>
            <w:tcW w:w="5040" w:type="dxa"/>
          </w:tcPr>
          <w:p w:rsidR="00CE62EA" w:rsidP="571F6726" w:rsidRDefault="00CE62EA" w14:paraId="52906E54" w14:textId="521E7FD0">
            <w:pPr>
              <w:rPr>
                <w:rFonts w:cs="Arial"/>
              </w:rPr>
            </w:pPr>
            <w:r w:rsidRPr="571F6726">
              <w:rPr>
                <w:rFonts w:ascii="Calibri" w:hAnsi="Calibri" w:cs="Arial"/>
                <w:color w:val="000000" w:themeColor="text1"/>
              </w:rPr>
              <w:t>Justin Bachman, PharmD, BCACP</w:t>
            </w:r>
          </w:p>
          <w:p w:rsidR="00CE62EA" w:rsidP="571F6726" w:rsidRDefault="00CE62EA" w14:paraId="7825046F" w14:textId="579A3FFB">
            <w:pPr>
              <w:outlineLvl w:val="0"/>
              <w:rPr>
                <w:rFonts w:ascii="Calibri" w:hAnsi="Calibri" w:cs="Arial"/>
                <w:color w:val="000000" w:themeColor="text1"/>
              </w:rPr>
            </w:pPr>
          </w:p>
        </w:tc>
        <w:tc>
          <w:tcPr>
            <w:tcW w:w="4770" w:type="dxa"/>
            <w:vAlign w:val="center"/>
          </w:tcPr>
          <w:p w:rsidR="00CE62EA" w:rsidP="00CE62EA" w:rsidRDefault="00CE62EA" w14:paraId="3F281793" w14:textId="02233042">
            <w:pPr>
              <w:rPr>
                <w:rFonts w:cs="Arial"/>
              </w:rPr>
            </w:pPr>
            <w:r>
              <w:rPr>
                <w:rFonts w:ascii="Calibri" w:hAnsi="Calibri" w:cs="Arial"/>
                <w:color w:val="000000"/>
              </w:rPr>
              <w:t>Yunuo (</w:t>
            </w:r>
            <w:r>
              <w:rPr>
                <w:rFonts w:cs="Arial"/>
              </w:rPr>
              <w:t>Enora) Wu, PharmD, BCACP*</w:t>
            </w:r>
          </w:p>
        </w:tc>
      </w:tr>
    </w:tbl>
    <w:p w:rsidR="002C261C" w:rsidP="00F82DCD" w:rsidRDefault="002C261C" w14:paraId="3EF514A3" w14:textId="4B288B7B">
      <w:pPr>
        <w:spacing w:after="0"/>
        <w:rPr>
          <w:rFonts w:cs="Arial"/>
          <w:b/>
          <w:color w:val="1F497D" w:themeColor="text2"/>
        </w:rPr>
      </w:pPr>
    </w:p>
    <w:p w:rsidRPr="00581C89" w:rsidR="0070114B" w:rsidP="00F82DCD" w:rsidRDefault="0070114B" w14:paraId="5B25941E" w14:textId="77777777">
      <w:pPr>
        <w:spacing w:after="0"/>
        <w:rPr>
          <w:rFonts w:cs="Arial"/>
          <w:b/>
          <w:color w:val="1F497D" w:themeColor="text2"/>
        </w:rPr>
      </w:pPr>
      <w:r w:rsidRPr="00581C89">
        <w:rPr>
          <w:rFonts w:cs="Arial"/>
          <w:b/>
          <w:color w:val="1F497D" w:themeColor="text2"/>
        </w:rPr>
        <w:t>Department of Pharmacy</w:t>
      </w:r>
    </w:p>
    <w:p w:rsidR="003156D8" w:rsidP="00F82DCD" w:rsidRDefault="0070114B" w14:paraId="4BB03A1C" w14:textId="25F7A789">
      <w:pPr>
        <w:spacing w:after="0"/>
        <w:rPr>
          <w:rFonts w:cs="Arial"/>
          <w:b/>
          <w:u w:val="single"/>
        </w:rPr>
      </w:pPr>
      <w:r>
        <w:rPr>
          <w:rFonts w:cs="Arial"/>
        </w:rPr>
        <w:t xml:space="preserve">The </w:t>
      </w:r>
      <w:r w:rsidR="004D58DF">
        <w:rPr>
          <w:rFonts w:cs="Arial"/>
        </w:rPr>
        <w:t>Providence Medical Group (</w:t>
      </w:r>
      <w:r>
        <w:rPr>
          <w:rFonts w:cs="Arial"/>
        </w:rPr>
        <w:t>PMG</w:t>
      </w:r>
      <w:r w:rsidR="004D58DF">
        <w:rPr>
          <w:rFonts w:cs="Arial"/>
        </w:rPr>
        <w:t>)</w:t>
      </w:r>
      <w:r>
        <w:rPr>
          <w:rFonts w:cs="Arial"/>
        </w:rPr>
        <w:t xml:space="preserve"> Department of Pharmacy is a non-distribution pharmacy that supports </w:t>
      </w:r>
      <w:r w:rsidR="00E43EF5">
        <w:rPr>
          <w:rFonts w:cs="Arial"/>
        </w:rPr>
        <w:t>Providence Medical Group</w:t>
      </w:r>
      <w:r>
        <w:rPr>
          <w:rFonts w:cs="Arial"/>
        </w:rPr>
        <w:t xml:space="preserve"> by providing a variety of medication related functions, including: collaborative drug therapy management, drug information, anticoagulation services, centralized refill, prior authorization and medication assistance program services, pharmaceutical and biologic support, and population based disease management.</w:t>
      </w:r>
    </w:p>
    <w:p w:rsidRPr="00CB5E0B" w:rsidR="002C261C" w:rsidP="00F82DCD" w:rsidRDefault="002C261C" w14:paraId="268DCF61" w14:textId="77777777">
      <w:pPr>
        <w:spacing w:after="0"/>
        <w:rPr>
          <w:rFonts w:cs="Arial"/>
          <w:b/>
          <w:sz w:val="12"/>
          <w:szCs w:val="12"/>
          <w:u w:val="single"/>
        </w:rPr>
      </w:pPr>
    </w:p>
    <w:p w:rsidRPr="00692899" w:rsidR="00692899" w:rsidP="000018E7" w:rsidRDefault="00692899" w14:paraId="6A080FA8" w14:textId="77777777">
      <w:pPr>
        <w:spacing w:after="0"/>
        <w:rPr>
          <w:rFonts w:cs="Arial"/>
          <w:b/>
          <w:color w:val="1F497D" w:themeColor="text2"/>
        </w:rPr>
      </w:pPr>
      <w:r>
        <w:rPr>
          <w:rFonts w:cs="Arial"/>
          <w:b/>
          <w:color w:val="1F497D" w:themeColor="text2"/>
        </w:rPr>
        <w:t>Description of Pharmacy Department Services</w:t>
      </w:r>
    </w:p>
    <w:p w:rsidRPr="00212AF0" w:rsidR="00F7343B" w:rsidP="000018E7" w:rsidRDefault="00F7343B" w14:paraId="524D803D" w14:textId="77777777">
      <w:pPr>
        <w:spacing w:after="0"/>
        <w:rPr>
          <w:rFonts w:cs="Arial"/>
          <w:b/>
        </w:rPr>
      </w:pPr>
      <w:r w:rsidRPr="00212AF0">
        <w:rPr>
          <w:rFonts w:cs="Arial"/>
          <w:b/>
        </w:rPr>
        <w:t xml:space="preserve">Clinical </w:t>
      </w:r>
      <w:r w:rsidR="00E91068">
        <w:rPr>
          <w:rFonts w:cs="Arial"/>
          <w:b/>
        </w:rPr>
        <w:t>P</w:t>
      </w:r>
      <w:r w:rsidRPr="00212AF0">
        <w:rPr>
          <w:rFonts w:cs="Arial"/>
          <w:b/>
        </w:rPr>
        <w:t xml:space="preserve">harmacist </w:t>
      </w:r>
      <w:r w:rsidR="00E91068">
        <w:rPr>
          <w:rFonts w:cs="Arial"/>
          <w:b/>
        </w:rPr>
        <w:t>S</w:t>
      </w:r>
      <w:r w:rsidRPr="00212AF0">
        <w:rPr>
          <w:rFonts w:cs="Arial"/>
          <w:b/>
        </w:rPr>
        <w:t>ervices</w:t>
      </w:r>
    </w:p>
    <w:p w:rsidR="002442A5" w:rsidP="000018E7" w:rsidRDefault="002442A5" w14:paraId="023D86B2" w14:textId="77777777">
      <w:pPr>
        <w:spacing w:after="0"/>
        <w:rPr>
          <w:color w:val="000000"/>
        </w:rPr>
      </w:pPr>
      <w:r>
        <w:rPr>
          <w:color w:val="000000"/>
        </w:rPr>
        <w:t>Clinical Pharmacists offer a range of services including direct patient care activities, consultations, and group classes. Direct patient care includes clinic, telephonic</w:t>
      </w:r>
      <w:r w:rsidR="005C2C75">
        <w:rPr>
          <w:color w:val="000000"/>
        </w:rPr>
        <w:t>,</w:t>
      </w:r>
      <w:r>
        <w:rPr>
          <w:color w:val="000000"/>
        </w:rPr>
        <w:t xml:space="preserve"> and electronic visits and is provided in accordance with </w:t>
      </w:r>
      <w:r w:rsidR="005B3840">
        <w:rPr>
          <w:color w:val="000000"/>
        </w:rPr>
        <w:t xml:space="preserve">Collaborative </w:t>
      </w:r>
      <w:r w:rsidR="00E91068">
        <w:rPr>
          <w:color w:val="000000"/>
        </w:rPr>
        <w:t>Practice Agreements</w:t>
      </w:r>
      <w:r>
        <w:rPr>
          <w:color w:val="000000"/>
        </w:rPr>
        <w:t xml:space="preserve">, in partnership with primary care physicians. The program emphasis is </w:t>
      </w:r>
      <w:r w:rsidR="005B3840">
        <w:rPr>
          <w:color w:val="000000"/>
        </w:rPr>
        <w:t xml:space="preserve">prevention and </w:t>
      </w:r>
      <w:r>
        <w:rPr>
          <w:color w:val="000000"/>
        </w:rPr>
        <w:t>medication management of highly prevalent chronic conditions.</w:t>
      </w:r>
    </w:p>
    <w:p w:rsidRPr="00255783" w:rsidR="002442A5" w:rsidP="000018E7" w:rsidRDefault="000018E7" w14:paraId="0D6508AC" w14:textId="77777777">
      <w:pPr>
        <w:tabs>
          <w:tab w:val="left" w:pos="3570"/>
        </w:tabs>
        <w:spacing w:after="0"/>
        <w:rPr>
          <w:rFonts w:cs="Arial"/>
          <w:b/>
          <w:color w:val="1F497D" w:themeColor="text2"/>
          <w:sz w:val="12"/>
          <w:szCs w:val="12"/>
        </w:rPr>
      </w:pPr>
      <w:r>
        <w:rPr>
          <w:rFonts w:cs="Arial"/>
          <w:b/>
          <w:color w:val="1F497D" w:themeColor="text2"/>
          <w:sz w:val="18"/>
          <w:szCs w:val="18"/>
        </w:rPr>
        <w:tab/>
      </w:r>
    </w:p>
    <w:p w:rsidRPr="00212AF0" w:rsidR="00F7343B" w:rsidP="000018E7" w:rsidRDefault="00F7343B" w14:paraId="780A7631" w14:textId="77777777">
      <w:pPr>
        <w:spacing w:after="0"/>
        <w:rPr>
          <w:rFonts w:cs="Arial"/>
          <w:b/>
        </w:rPr>
      </w:pPr>
      <w:r w:rsidRPr="00212AF0">
        <w:rPr>
          <w:rFonts w:cs="Arial"/>
          <w:b/>
        </w:rPr>
        <w:t>Centralized Refill Service</w:t>
      </w:r>
    </w:p>
    <w:p w:rsidRPr="002442A5" w:rsidR="007E4D0C" w:rsidP="000018E7" w:rsidRDefault="007E4D0C" w14:paraId="44652020" w14:textId="45A1235D">
      <w:pPr>
        <w:spacing w:after="0"/>
        <w:rPr>
          <w:rFonts w:eastAsia="Times New Roman" w:cs="Times New Roman"/>
          <w:color w:val="000000"/>
        </w:rPr>
      </w:pPr>
      <w:r w:rsidRPr="002442A5">
        <w:rPr>
          <w:rFonts w:eastAsia="Times New Roman" w:cs="Times New Roman"/>
          <w:color w:val="000000"/>
        </w:rPr>
        <w:t xml:space="preserve">The purpose of this service is to improve safety, standardize the authorization of refills using protocols, maximize efficiency, and decrease costs. The program aims to improve patient safety and medical legal liability surrounding medication errors and monitoring, customer service and patient satisfaction, as well as allow for more time in the clinic to pursue excellent primary care. The service </w:t>
      </w:r>
      <w:r w:rsidR="00ED5A14">
        <w:rPr>
          <w:rFonts w:eastAsia="Times New Roman" w:cs="Times New Roman"/>
          <w:color w:val="000000"/>
        </w:rPr>
        <w:t>is staffed by pharmacists and technicians</w:t>
      </w:r>
      <w:r w:rsidRPr="002442A5">
        <w:rPr>
          <w:rFonts w:eastAsia="Times New Roman" w:cs="Times New Roman"/>
          <w:color w:val="000000"/>
        </w:rPr>
        <w:t>. The Central Refill Service works under guidelines and protocols approved by the PMG Pharmacy Committee.</w:t>
      </w:r>
    </w:p>
    <w:p w:rsidRPr="00CB5E0B" w:rsidR="007E4D0C" w:rsidP="000018E7" w:rsidRDefault="007E4D0C" w14:paraId="768E3BDF" w14:textId="77777777">
      <w:pPr>
        <w:spacing w:after="0"/>
        <w:rPr>
          <w:rFonts w:cs="Arial"/>
          <w:b/>
          <w:sz w:val="12"/>
          <w:szCs w:val="12"/>
        </w:rPr>
      </w:pPr>
    </w:p>
    <w:p w:rsidRPr="00212AF0" w:rsidR="00F7343B" w:rsidP="000018E7" w:rsidRDefault="00F7343B" w14:paraId="499BC875" w14:textId="77777777">
      <w:pPr>
        <w:spacing w:after="0"/>
        <w:rPr>
          <w:rFonts w:cs="Arial"/>
          <w:b/>
        </w:rPr>
      </w:pPr>
      <w:r w:rsidRPr="00212AF0">
        <w:rPr>
          <w:rFonts w:cs="Arial"/>
          <w:b/>
        </w:rPr>
        <w:t>Prior Authorization</w:t>
      </w:r>
    </w:p>
    <w:p w:rsidRPr="000018E7" w:rsidR="000018E7" w:rsidP="000018E7" w:rsidRDefault="000018E7" w14:paraId="78660073" w14:textId="77777777">
      <w:pPr>
        <w:spacing w:after="0"/>
        <w:rPr>
          <w:rFonts w:cs="Arial"/>
        </w:rPr>
      </w:pPr>
      <w:r w:rsidRPr="000018E7">
        <w:rPr>
          <w:rFonts w:cs="Arial"/>
        </w:rPr>
        <w:t xml:space="preserve">The Prior Authorization (PA) Department receives PA requests from pharmacies and/or insurers and researches and completes documentation necessary to process the PA. This service is staffed by Prior Authorization Specialists (usually certified pharmacy technicians) and Doctors of Pharmacy.  </w:t>
      </w:r>
    </w:p>
    <w:p w:rsidRPr="00CB5E0B" w:rsidR="000018E7" w:rsidP="000018E7" w:rsidRDefault="000018E7" w14:paraId="7C2C34B5" w14:textId="77777777">
      <w:pPr>
        <w:spacing w:after="0"/>
        <w:rPr>
          <w:rFonts w:cs="Arial"/>
          <w:b/>
          <w:color w:val="1F497D" w:themeColor="text2"/>
          <w:sz w:val="12"/>
          <w:szCs w:val="12"/>
        </w:rPr>
      </w:pPr>
    </w:p>
    <w:p w:rsidRPr="00212AF0" w:rsidR="00F7343B" w:rsidP="000018E7" w:rsidRDefault="00F7343B" w14:paraId="46EF0A8D" w14:textId="77777777">
      <w:pPr>
        <w:spacing w:after="0"/>
        <w:rPr>
          <w:rFonts w:cs="Arial"/>
          <w:b/>
        </w:rPr>
      </w:pPr>
      <w:r w:rsidRPr="00212AF0">
        <w:rPr>
          <w:rFonts w:cs="Arial"/>
          <w:b/>
        </w:rPr>
        <w:t>Medication Assistance Program</w:t>
      </w:r>
    </w:p>
    <w:p w:rsidRPr="00E17C48" w:rsidR="00293602" w:rsidP="00E17C48" w:rsidRDefault="007E4D0C" w14:paraId="5B74945E" w14:textId="77777777">
      <w:pPr>
        <w:pStyle w:val="NormalWeb"/>
        <w:spacing w:after="0" w:afterAutospacing="0" w:line="276" w:lineRule="auto"/>
        <w:rPr>
          <w:rFonts w:asciiTheme="minorHAnsi" w:hAnsiTheme="minorHAnsi"/>
          <w:color w:val="000000"/>
          <w:sz w:val="22"/>
          <w:szCs w:val="22"/>
        </w:rPr>
      </w:pPr>
      <w:r w:rsidRPr="002442A5">
        <w:rPr>
          <w:rFonts w:asciiTheme="minorHAnsi" w:hAnsiTheme="minorHAnsi"/>
          <w:color w:val="000000"/>
          <w:sz w:val="22"/>
          <w:szCs w:val="22"/>
        </w:rPr>
        <w:t xml:space="preserve">The Medication Assistance Program (MAP) assists patients in the acquisition of brand-name medications from the pharmaceutical industry at no cost to the patient. The MAP staff navigates the inconsistent bureaucracy of patient assistance programs on patients’ behalf, </w:t>
      </w:r>
      <w:r w:rsidR="000018E7">
        <w:rPr>
          <w:rFonts w:asciiTheme="minorHAnsi" w:hAnsiTheme="minorHAnsi"/>
          <w:color w:val="000000"/>
          <w:sz w:val="22"/>
          <w:szCs w:val="22"/>
        </w:rPr>
        <w:t>taking much of the burden of this process out of the clinic</w:t>
      </w:r>
      <w:r w:rsidRPr="002442A5">
        <w:rPr>
          <w:rFonts w:asciiTheme="minorHAnsi" w:hAnsiTheme="minorHAnsi"/>
          <w:color w:val="000000"/>
          <w:sz w:val="22"/>
          <w:szCs w:val="22"/>
        </w:rPr>
        <w:t xml:space="preserve">. </w:t>
      </w:r>
      <w:r w:rsidR="005C2C75">
        <w:rPr>
          <w:rFonts w:asciiTheme="minorHAnsi" w:hAnsiTheme="minorHAnsi"/>
          <w:color w:val="000000"/>
          <w:sz w:val="22"/>
          <w:szCs w:val="22"/>
        </w:rPr>
        <w:t>The</w:t>
      </w:r>
      <w:r w:rsidR="000018E7">
        <w:rPr>
          <w:rFonts w:asciiTheme="minorHAnsi" w:hAnsiTheme="minorHAnsi"/>
          <w:color w:val="000000"/>
          <w:sz w:val="22"/>
          <w:szCs w:val="22"/>
        </w:rPr>
        <w:t xml:space="preserve"> team of clinical pharmacists </w:t>
      </w:r>
      <w:r w:rsidRPr="002442A5">
        <w:rPr>
          <w:rFonts w:asciiTheme="minorHAnsi" w:hAnsiTheme="minorHAnsi"/>
          <w:color w:val="000000"/>
          <w:sz w:val="22"/>
          <w:szCs w:val="22"/>
        </w:rPr>
        <w:t>support the program by resolving clinical questions, consulting to design less expensive alternative medication</w:t>
      </w:r>
      <w:r w:rsidR="005C2C75">
        <w:rPr>
          <w:rFonts w:asciiTheme="minorHAnsi" w:hAnsiTheme="minorHAnsi"/>
          <w:color w:val="000000"/>
          <w:sz w:val="22"/>
          <w:szCs w:val="22"/>
        </w:rPr>
        <w:t xml:space="preserve"> </w:t>
      </w:r>
      <w:r w:rsidR="008A195E">
        <w:rPr>
          <w:rFonts w:asciiTheme="minorHAnsi" w:hAnsiTheme="minorHAnsi"/>
          <w:color w:val="000000"/>
          <w:sz w:val="22"/>
          <w:szCs w:val="22"/>
        </w:rPr>
        <w:t>regimen</w:t>
      </w:r>
      <w:r w:rsidRPr="002442A5" w:rsidR="008A195E">
        <w:rPr>
          <w:rFonts w:asciiTheme="minorHAnsi" w:hAnsiTheme="minorHAnsi"/>
          <w:color w:val="000000"/>
          <w:sz w:val="22"/>
          <w:szCs w:val="22"/>
        </w:rPr>
        <w:t>s</w:t>
      </w:r>
      <w:r w:rsidRPr="002442A5">
        <w:rPr>
          <w:rFonts w:asciiTheme="minorHAnsi" w:hAnsiTheme="minorHAnsi"/>
          <w:color w:val="000000"/>
          <w:sz w:val="22"/>
          <w:szCs w:val="22"/>
        </w:rPr>
        <w:t>, and reviewing urgent</w:t>
      </w:r>
      <w:r w:rsidR="005C2C75">
        <w:rPr>
          <w:rFonts w:asciiTheme="minorHAnsi" w:hAnsiTheme="minorHAnsi"/>
          <w:color w:val="000000"/>
          <w:sz w:val="22"/>
          <w:szCs w:val="22"/>
        </w:rPr>
        <w:t xml:space="preserve"> medication approval</w:t>
      </w:r>
      <w:r w:rsidRPr="002442A5">
        <w:rPr>
          <w:rFonts w:asciiTheme="minorHAnsi" w:hAnsiTheme="minorHAnsi"/>
          <w:color w:val="000000"/>
          <w:sz w:val="22"/>
          <w:szCs w:val="22"/>
        </w:rPr>
        <w:t xml:space="preserve"> requests. In addition, the </w:t>
      </w:r>
      <w:r w:rsidR="000018E7">
        <w:rPr>
          <w:rFonts w:asciiTheme="minorHAnsi" w:hAnsiTheme="minorHAnsi"/>
          <w:color w:val="000000"/>
          <w:sz w:val="22"/>
          <w:szCs w:val="22"/>
        </w:rPr>
        <w:t>clinical pharmacists</w:t>
      </w:r>
      <w:r w:rsidRPr="002442A5">
        <w:rPr>
          <w:rFonts w:asciiTheme="minorHAnsi" w:hAnsiTheme="minorHAnsi"/>
          <w:color w:val="000000"/>
          <w:sz w:val="22"/>
          <w:szCs w:val="22"/>
        </w:rPr>
        <w:t xml:space="preserve"> </w:t>
      </w:r>
      <w:r w:rsidR="00E17C48">
        <w:rPr>
          <w:rFonts w:asciiTheme="minorHAnsi" w:hAnsiTheme="minorHAnsi"/>
          <w:color w:val="000000"/>
          <w:sz w:val="22"/>
          <w:szCs w:val="22"/>
        </w:rPr>
        <w:t xml:space="preserve">may </w:t>
      </w:r>
      <w:r w:rsidRPr="002442A5">
        <w:rPr>
          <w:rFonts w:asciiTheme="minorHAnsi" w:hAnsiTheme="minorHAnsi"/>
          <w:color w:val="000000"/>
          <w:sz w:val="22"/>
          <w:szCs w:val="22"/>
        </w:rPr>
        <w:t xml:space="preserve">make therapeutic recommendations for those patients who do not meet </w:t>
      </w:r>
      <w:r w:rsidR="00E17C48">
        <w:rPr>
          <w:rFonts w:asciiTheme="minorHAnsi" w:hAnsiTheme="minorHAnsi"/>
          <w:color w:val="000000"/>
          <w:sz w:val="22"/>
          <w:szCs w:val="22"/>
        </w:rPr>
        <w:t>criteria for available medication assistance programs</w:t>
      </w:r>
    </w:p>
    <w:p w:rsidRPr="00255783" w:rsidR="00F519A5" w:rsidP="000018E7" w:rsidRDefault="00F519A5" w14:paraId="226CCF7D" w14:textId="77777777">
      <w:pPr>
        <w:spacing w:after="0"/>
        <w:rPr>
          <w:rFonts w:cs="Arial"/>
          <w:b/>
          <w:color w:val="1F497D" w:themeColor="text2"/>
          <w:sz w:val="12"/>
          <w:szCs w:val="12"/>
        </w:rPr>
      </w:pPr>
    </w:p>
    <w:p w:rsidRPr="00212AF0" w:rsidR="00F7343B" w:rsidP="000018E7" w:rsidRDefault="00F7343B" w14:paraId="4360B31F" w14:textId="77777777">
      <w:pPr>
        <w:spacing w:after="0"/>
        <w:rPr>
          <w:rFonts w:cs="Arial"/>
          <w:b/>
        </w:rPr>
      </w:pPr>
      <w:r w:rsidRPr="00212AF0">
        <w:rPr>
          <w:rFonts w:cs="Arial"/>
          <w:b/>
        </w:rPr>
        <w:t>Pharmaceutical and Biologic Support Team</w:t>
      </w:r>
      <w:r w:rsidR="007C220B">
        <w:rPr>
          <w:rFonts w:cs="Arial"/>
          <w:b/>
        </w:rPr>
        <w:t xml:space="preserve"> (PBST)</w:t>
      </w:r>
    </w:p>
    <w:p w:rsidRPr="002442A5" w:rsidR="007E4D0C" w:rsidP="000018E7" w:rsidRDefault="00E91990" w14:paraId="6FC47564" w14:textId="77777777">
      <w:pPr>
        <w:pStyle w:val="NormalWeb"/>
        <w:spacing w:after="0" w:afterAutospacing="0" w:line="276" w:lineRule="auto"/>
        <w:rPr>
          <w:rFonts w:asciiTheme="minorHAnsi" w:hAnsiTheme="minorHAnsi"/>
          <w:color w:val="000000"/>
          <w:sz w:val="22"/>
          <w:szCs w:val="22"/>
        </w:rPr>
      </w:pPr>
      <w:r>
        <w:rPr>
          <w:rFonts w:asciiTheme="minorHAnsi" w:hAnsiTheme="minorHAnsi"/>
          <w:color w:val="000000"/>
          <w:sz w:val="22"/>
          <w:szCs w:val="22"/>
        </w:rPr>
        <w:t xml:space="preserve">This team of certified pharmacy technicians coordinate the use of medications </w:t>
      </w:r>
      <w:r w:rsidR="00460D68">
        <w:rPr>
          <w:rFonts w:asciiTheme="minorHAnsi" w:hAnsiTheme="minorHAnsi"/>
          <w:color w:val="000000"/>
          <w:sz w:val="22"/>
          <w:szCs w:val="22"/>
        </w:rPr>
        <w:t>administered</w:t>
      </w:r>
      <w:r>
        <w:rPr>
          <w:rFonts w:asciiTheme="minorHAnsi" w:hAnsiTheme="minorHAnsi"/>
          <w:color w:val="000000"/>
          <w:sz w:val="22"/>
          <w:szCs w:val="22"/>
        </w:rPr>
        <w:t xml:space="preserve"> in our medical offices, including vaccines, samples, and </w:t>
      </w:r>
      <w:r w:rsidR="005C2C75">
        <w:rPr>
          <w:rFonts w:asciiTheme="minorHAnsi" w:hAnsiTheme="minorHAnsi"/>
          <w:color w:val="000000"/>
          <w:sz w:val="22"/>
          <w:szCs w:val="22"/>
        </w:rPr>
        <w:t>in-</w:t>
      </w:r>
      <w:r>
        <w:rPr>
          <w:rFonts w:asciiTheme="minorHAnsi" w:hAnsiTheme="minorHAnsi"/>
          <w:color w:val="000000"/>
          <w:sz w:val="22"/>
          <w:szCs w:val="22"/>
        </w:rPr>
        <w:t xml:space="preserve">office </w:t>
      </w:r>
      <w:r w:rsidR="005C2C75">
        <w:rPr>
          <w:rFonts w:asciiTheme="minorHAnsi" w:hAnsiTheme="minorHAnsi"/>
          <w:color w:val="000000"/>
          <w:sz w:val="22"/>
          <w:szCs w:val="22"/>
        </w:rPr>
        <w:t xml:space="preserve">administered </w:t>
      </w:r>
      <w:r>
        <w:rPr>
          <w:rFonts w:asciiTheme="minorHAnsi" w:hAnsiTheme="minorHAnsi"/>
          <w:color w:val="000000"/>
          <w:sz w:val="22"/>
          <w:szCs w:val="22"/>
        </w:rPr>
        <w:t>med</w:t>
      </w:r>
      <w:r w:rsidR="005C2C75">
        <w:rPr>
          <w:rFonts w:asciiTheme="minorHAnsi" w:hAnsiTheme="minorHAnsi"/>
          <w:color w:val="000000"/>
          <w:sz w:val="22"/>
          <w:szCs w:val="22"/>
        </w:rPr>
        <w:t>ication</w:t>
      </w:r>
      <w:r>
        <w:rPr>
          <w:rFonts w:asciiTheme="minorHAnsi" w:hAnsiTheme="minorHAnsi"/>
          <w:color w:val="000000"/>
          <w:sz w:val="22"/>
          <w:szCs w:val="22"/>
        </w:rPr>
        <w:t xml:space="preserve">s.  </w:t>
      </w:r>
      <w:r w:rsidR="00212AF0">
        <w:rPr>
          <w:rFonts w:asciiTheme="minorHAnsi" w:hAnsiTheme="minorHAnsi"/>
          <w:color w:val="000000"/>
          <w:sz w:val="22"/>
          <w:szCs w:val="22"/>
        </w:rPr>
        <w:t xml:space="preserve">Clinics order medications and supplies from a set list of approved medications.  The structured </w:t>
      </w:r>
      <w:r w:rsidR="007C220B">
        <w:rPr>
          <w:rFonts w:asciiTheme="minorHAnsi" w:hAnsiTheme="minorHAnsi"/>
          <w:color w:val="000000"/>
          <w:sz w:val="22"/>
          <w:szCs w:val="22"/>
        </w:rPr>
        <w:t>ordering process</w:t>
      </w:r>
      <w:r w:rsidR="00212AF0">
        <w:rPr>
          <w:rFonts w:asciiTheme="minorHAnsi" w:hAnsiTheme="minorHAnsi"/>
          <w:color w:val="000000"/>
          <w:sz w:val="22"/>
          <w:szCs w:val="22"/>
        </w:rPr>
        <w:t xml:space="preserve"> was implemented in 2002 to drive ongoing prescribing practices and encourage cost-effective prescribing. </w:t>
      </w:r>
      <w:r w:rsidR="007C220B">
        <w:rPr>
          <w:rFonts w:asciiTheme="minorHAnsi" w:hAnsiTheme="minorHAnsi"/>
          <w:color w:val="000000"/>
          <w:sz w:val="22"/>
          <w:szCs w:val="22"/>
        </w:rPr>
        <w:t xml:space="preserve">The team of clinical pharmacists supports PBST by reviewing non-stock medication requests. </w:t>
      </w:r>
    </w:p>
    <w:p w:rsidRPr="00255783" w:rsidR="007E4D0C" w:rsidP="000018E7" w:rsidRDefault="007E4D0C" w14:paraId="5ED861F5" w14:textId="77777777">
      <w:pPr>
        <w:spacing w:after="0"/>
        <w:rPr>
          <w:rFonts w:cs="Arial"/>
          <w:b/>
          <w:color w:val="1F497D" w:themeColor="text2"/>
          <w:sz w:val="12"/>
          <w:szCs w:val="12"/>
        </w:rPr>
      </w:pPr>
    </w:p>
    <w:p w:rsidRPr="00212AF0" w:rsidR="00F7343B" w:rsidP="000018E7" w:rsidRDefault="00F7343B" w14:paraId="2E32CBBF" w14:textId="77777777">
      <w:pPr>
        <w:spacing w:after="0"/>
        <w:rPr>
          <w:rFonts w:cs="Arial"/>
          <w:b/>
        </w:rPr>
      </w:pPr>
      <w:r w:rsidRPr="00212AF0">
        <w:rPr>
          <w:rFonts w:cs="Arial"/>
          <w:b/>
        </w:rPr>
        <w:t xml:space="preserve">Anticoagulation </w:t>
      </w:r>
      <w:r w:rsidR="007C220B">
        <w:rPr>
          <w:rFonts w:cs="Arial"/>
          <w:b/>
        </w:rPr>
        <w:t xml:space="preserve">and Pharmacotherapy </w:t>
      </w:r>
      <w:r w:rsidRPr="00212AF0">
        <w:rPr>
          <w:rFonts w:cs="Arial"/>
          <w:b/>
        </w:rPr>
        <w:t>Services</w:t>
      </w:r>
    </w:p>
    <w:p w:rsidRPr="00E91990" w:rsidR="00E91990" w:rsidP="000018E7" w:rsidRDefault="00E91990" w14:paraId="6DBF2CC2" w14:textId="77777777">
      <w:pPr>
        <w:spacing w:after="0"/>
        <w:rPr>
          <w:rFonts w:cs="Arial"/>
        </w:rPr>
      </w:pPr>
      <w:r w:rsidRPr="00E91990">
        <w:rPr>
          <w:rFonts w:cs="Arial"/>
        </w:rPr>
        <w:t xml:space="preserve">Pharmacist led anticoagulation services are provided to Providence patients at 4 of our regional hospitals.  Patients are referred to the centralized Anticoagulation Clinics by their primary care providers or specialists.  </w:t>
      </w:r>
      <w:r w:rsidR="005B3840">
        <w:rPr>
          <w:rFonts w:cs="Arial"/>
        </w:rPr>
        <w:t>Care is provided via face-to-face and telephonic visits.</w:t>
      </w:r>
      <w:r w:rsidR="007C220B">
        <w:rPr>
          <w:rFonts w:cs="Arial"/>
        </w:rPr>
        <w:t xml:space="preserve"> Pharmacists also provide collaborative drug therapy management of Hepatitis C via pharmacotherapy clinic</w:t>
      </w:r>
      <w:r w:rsidR="00956E24">
        <w:rPr>
          <w:rFonts w:cs="Arial"/>
        </w:rPr>
        <w:t>s located at Providence Portland and Providence St. Vincent Medical Centers</w:t>
      </w:r>
      <w:r w:rsidR="007C220B">
        <w:rPr>
          <w:rFonts w:cs="Arial"/>
        </w:rPr>
        <w:t xml:space="preserve">. Patients are referred to the centralized pharmacotherapy clinic by their </w:t>
      </w:r>
      <w:r w:rsidR="00956E24">
        <w:rPr>
          <w:rFonts w:cs="Arial"/>
        </w:rPr>
        <w:t xml:space="preserve">PMG </w:t>
      </w:r>
      <w:r w:rsidR="007C220B">
        <w:rPr>
          <w:rFonts w:cs="Arial"/>
        </w:rPr>
        <w:t xml:space="preserve">primary care provider. </w:t>
      </w:r>
    </w:p>
    <w:p w:rsidRPr="00255783" w:rsidR="001B7334" w:rsidP="000018E7" w:rsidRDefault="001B7334" w14:paraId="5A250E87" w14:textId="77777777">
      <w:pPr>
        <w:spacing w:after="0"/>
        <w:rPr>
          <w:rFonts w:cs="Arial"/>
          <w:b/>
          <w:sz w:val="12"/>
          <w:szCs w:val="12"/>
          <w:u w:val="single"/>
        </w:rPr>
      </w:pPr>
    </w:p>
    <w:p w:rsidRPr="0070114B" w:rsidR="0070114B" w:rsidP="00F82DCD" w:rsidRDefault="00212AF0" w14:paraId="5AAB3B37" w14:textId="77777777">
      <w:pPr>
        <w:autoSpaceDE w:val="0"/>
        <w:autoSpaceDN w:val="0"/>
        <w:adjustRightInd w:val="0"/>
        <w:spacing w:after="0"/>
        <w:outlineLvl w:val="0"/>
        <w:rPr>
          <w:rFonts w:cs="Arial"/>
          <w:b/>
          <w:color w:val="17365D" w:themeColor="text2" w:themeShade="BF"/>
          <w:sz w:val="28"/>
          <w:szCs w:val="28"/>
          <w:u w:val="single"/>
        </w:rPr>
      </w:pPr>
      <w:r>
        <w:rPr>
          <w:rFonts w:cs="Arial"/>
          <w:b/>
          <w:color w:val="17365D" w:themeColor="text2" w:themeShade="BF"/>
          <w:sz w:val="28"/>
          <w:szCs w:val="28"/>
          <w:u w:val="single"/>
        </w:rPr>
        <w:t xml:space="preserve">Residency </w:t>
      </w:r>
      <w:r w:rsidR="00581C89">
        <w:rPr>
          <w:rFonts w:cs="Arial"/>
          <w:b/>
          <w:color w:val="17365D" w:themeColor="text2" w:themeShade="BF"/>
          <w:sz w:val="28"/>
          <w:szCs w:val="28"/>
          <w:u w:val="single"/>
        </w:rPr>
        <w:t>Description, Mission and Purpose</w:t>
      </w:r>
    </w:p>
    <w:p w:rsidRPr="00CB5E0B" w:rsidR="00F82DCD" w:rsidP="00F82DCD" w:rsidRDefault="00F82DCD" w14:paraId="760B9594" w14:textId="77777777">
      <w:pPr>
        <w:spacing w:after="0"/>
        <w:outlineLvl w:val="0"/>
        <w:rPr>
          <w:rFonts w:cs="Arial"/>
          <w:b/>
          <w:color w:val="1F497D" w:themeColor="text2"/>
          <w:sz w:val="12"/>
          <w:szCs w:val="12"/>
          <w:u w:val="single"/>
        </w:rPr>
      </w:pPr>
    </w:p>
    <w:p w:rsidRPr="00053B41" w:rsidR="00004DD0" w:rsidP="00F82DCD" w:rsidRDefault="00004DD0" w14:paraId="35763E7C" w14:textId="77777777">
      <w:pPr>
        <w:spacing w:after="0"/>
        <w:outlineLvl w:val="0"/>
        <w:rPr>
          <w:rFonts w:cs="Arial"/>
          <w:b/>
          <w:color w:val="1F497D" w:themeColor="text2"/>
          <w:sz w:val="24"/>
          <w:szCs w:val="24"/>
          <w:u w:val="single"/>
        </w:rPr>
      </w:pPr>
      <w:r w:rsidRPr="00053B41">
        <w:rPr>
          <w:rFonts w:cs="Arial"/>
          <w:b/>
          <w:color w:val="1F497D" w:themeColor="text2"/>
          <w:sz w:val="24"/>
          <w:szCs w:val="24"/>
        </w:rPr>
        <w:t>Program description</w:t>
      </w:r>
      <w:r w:rsidRPr="00053B41">
        <w:rPr>
          <w:rFonts w:cs="Arial"/>
          <w:b/>
          <w:smallCaps/>
          <w:color w:val="1F497D" w:themeColor="text2"/>
          <w:sz w:val="24"/>
          <w:szCs w:val="24"/>
        </w:rPr>
        <w:t xml:space="preserve"> </w:t>
      </w:r>
    </w:p>
    <w:p w:rsidRPr="00CF6183" w:rsidR="0039397D" w:rsidP="00F82DCD" w:rsidRDefault="00ED5A14" w14:paraId="1447EE4C" w14:textId="757C414B">
      <w:pPr>
        <w:spacing w:after="0"/>
      </w:pPr>
      <w:r>
        <w:t>Providence St Joseph Health</w:t>
      </w:r>
      <w:r w:rsidR="004D58DF">
        <w:t xml:space="preserve"> (PSJH)</w:t>
      </w:r>
      <w:r>
        <w:t xml:space="preserve"> is the 3</w:t>
      </w:r>
      <w:r w:rsidRPr="00ED5A14">
        <w:rPr>
          <w:vertAlign w:val="superscript"/>
        </w:rPr>
        <w:t>rd</w:t>
      </w:r>
      <w:r>
        <w:t xml:space="preserve"> largest not-for-profit health and social services system in the country. </w:t>
      </w:r>
      <w:r w:rsidRPr="00ED5A14">
        <w:t>It is a multi-payer integrated health system with 2 health plans, 50 hospitals, over 830 clinics, 90 non-acute services, over 111,000 employed caregivers and housing, social and educational services across Alaska, California, Montana, New Mexico, Oregon, Texas, and Washington.</w:t>
      </w:r>
      <w:r>
        <w:t xml:space="preserve"> </w:t>
      </w:r>
      <w:r w:rsidRPr="00ED5A14">
        <w:t>Providence Medical Group – Oregon Region (PMG-OR) is the employed physician medical group of PSJH in Oregon and the largest ambulatory care group in Oregon; it has over 50 primary care clinics, including 3 medical residency programs.</w:t>
      </w:r>
    </w:p>
    <w:p w:rsidRPr="00340AC2" w:rsidR="0039397D" w:rsidP="00F82DCD" w:rsidRDefault="0039397D" w14:paraId="268D8585" w14:textId="77777777">
      <w:pPr>
        <w:spacing w:after="0"/>
        <w:rPr>
          <w:rFonts w:cs="Arial"/>
          <w:b/>
          <w:sz w:val="18"/>
          <w:szCs w:val="18"/>
          <w:u w:val="single"/>
        </w:rPr>
      </w:pPr>
    </w:p>
    <w:p w:rsidRPr="00CF6183" w:rsidR="0039397D" w:rsidP="00F82DCD" w:rsidRDefault="0039397D" w14:paraId="1E4803BA" w14:textId="5B6DA114">
      <w:pPr>
        <w:spacing w:after="0"/>
        <w:rPr>
          <w:rFonts w:cs="Arial"/>
        </w:rPr>
      </w:pPr>
      <w:r w:rsidRPr="00CF6183">
        <w:rPr>
          <w:rFonts w:cs="Arial"/>
        </w:rPr>
        <w:t>The Department of Pharmacy at Providence Medical Group in Portland, Oregon</w:t>
      </w:r>
      <w:r w:rsidR="004D58DF">
        <w:rPr>
          <w:rFonts w:cs="Arial"/>
        </w:rPr>
        <w:t xml:space="preserve"> and Central Point, OR</w:t>
      </w:r>
      <w:r w:rsidRPr="00CF6183">
        <w:rPr>
          <w:rFonts w:cs="Arial"/>
        </w:rPr>
        <w:t xml:space="preserve"> offer </w:t>
      </w:r>
      <w:r w:rsidR="004D58DF">
        <w:rPr>
          <w:rFonts w:cs="Arial"/>
        </w:rPr>
        <w:t>two</w:t>
      </w:r>
      <w:r w:rsidRPr="00CF6183">
        <w:rPr>
          <w:rFonts w:cs="Arial"/>
        </w:rPr>
        <w:t xml:space="preserve"> American Society of Health System Pharmacists Accredited PGY2</w:t>
      </w:r>
      <w:r w:rsidR="00117FC4">
        <w:rPr>
          <w:rFonts w:cs="Arial"/>
        </w:rPr>
        <w:t xml:space="preserve"> </w:t>
      </w:r>
      <w:r w:rsidR="004B2753">
        <w:rPr>
          <w:rFonts w:cs="Arial"/>
        </w:rPr>
        <w:t xml:space="preserve">Pharmacy </w:t>
      </w:r>
      <w:r w:rsidR="00117FC4">
        <w:rPr>
          <w:rFonts w:cs="Arial"/>
        </w:rPr>
        <w:t xml:space="preserve">Residency in Ambulatory Care. </w:t>
      </w:r>
      <w:r w:rsidRPr="00CF6183">
        <w:rPr>
          <w:rFonts w:cs="Arial"/>
        </w:rPr>
        <w:t>Providence Medical Group’s vision is to provide patients with a connected experience of care based on a foun</w:t>
      </w:r>
      <w:r w:rsidR="00117FC4">
        <w:rPr>
          <w:rFonts w:cs="Arial"/>
        </w:rPr>
        <w:t xml:space="preserve">dation of clinical excellence. </w:t>
      </w:r>
      <w:r w:rsidRPr="00CF6183">
        <w:rPr>
          <w:rFonts w:cs="Arial"/>
        </w:rPr>
        <w:t xml:space="preserve">There are more than 50 medical clinics in the Portland Metro Area </w:t>
      </w:r>
      <w:r w:rsidR="004D58DF">
        <w:rPr>
          <w:rFonts w:cs="Arial"/>
        </w:rPr>
        <w:t xml:space="preserve">and 7 primary care clinics in Southern Oregon </w:t>
      </w:r>
      <w:r w:rsidRPr="00CF6183">
        <w:rPr>
          <w:rFonts w:cs="Arial"/>
        </w:rPr>
        <w:t xml:space="preserve">dedicated to meeting the health care needs of the community.  </w:t>
      </w:r>
    </w:p>
    <w:p w:rsidRPr="00340AC2" w:rsidR="0039397D" w:rsidP="00F82DCD" w:rsidRDefault="0039397D" w14:paraId="4BC3CA31" w14:textId="77777777">
      <w:pPr>
        <w:spacing w:after="0"/>
        <w:rPr>
          <w:rFonts w:cs="Arial"/>
          <w:sz w:val="18"/>
          <w:szCs w:val="18"/>
        </w:rPr>
      </w:pPr>
    </w:p>
    <w:p w:rsidR="0039397D" w:rsidP="00F82DCD" w:rsidRDefault="0039397D" w14:paraId="3130888D" w14:textId="5DE53ECA">
      <w:pPr>
        <w:spacing w:after="0"/>
        <w:rPr>
          <w:rFonts w:cs="Arial"/>
        </w:rPr>
      </w:pPr>
      <w:r w:rsidRPr="00CF6183">
        <w:rPr>
          <w:rFonts w:cs="Arial"/>
        </w:rPr>
        <w:t xml:space="preserve">The PGY2 Ambulatory Care Residency provides residents with experiences in a team-based primary care setting.  The resident will work under various </w:t>
      </w:r>
      <w:r w:rsidR="004B2753">
        <w:rPr>
          <w:rFonts w:cs="Arial"/>
        </w:rPr>
        <w:t xml:space="preserve">clinical pharmacy agreements </w:t>
      </w:r>
      <w:r w:rsidRPr="00CF6183">
        <w:rPr>
          <w:rFonts w:cs="Arial"/>
        </w:rPr>
        <w:t xml:space="preserve">with primary care providers </w:t>
      </w:r>
      <w:r w:rsidR="00117FC4">
        <w:rPr>
          <w:rFonts w:cs="Arial"/>
        </w:rPr>
        <w:t>to provide direct patient care.</w:t>
      </w:r>
      <w:r w:rsidRPr="00CF6183">
        <w:rPr>
          <w:rFonts w:cs="Arial"/>
        </w:rPr>
        <w:t xml:space="preserve"> </w:t>
      </w:r>
      <w:r w:rsidR="004B2753">
        <w:rPr>
          <w:rFonts w:cs="Arial"/>
        </w:rPr>
        <w:t xml:space="preserve">The resident is responsible for initiating and adjusting medication therapy for a variety of chronic disease states. </w:t>
      </w:r>
      <w:r w:rsidRPr="00A72D4F" w:rsidR="004D58DF">
        <w:rPr>
          <w:rFonts w:cs="Arial"/>
        </w:rPr>
        <w:t xml:space="preserve">As a member of the </w:t>
      </w:r>
      <w:r w:rsidR="004D58DF">
        <w:rPr>
          <w:rFonts w:cs="Arial"/>
        </w:rPr>
        <w:t>medical home team, the resident</w:t>
      </w:r>
      <w:r w:rsidRPr="00A72D4F" w:rsidR="004D58DF">
        <w:rPr>
          <w:rFonts w:cs="Arial"/>
        </w:rPr>
        <w:t xml:space="preserve"> work</w:t>
      </w:r>
      <w:r w:rsidR="004D58DF">
        <w:rPr>
          <w:rFonts w:cs="Arial"/>
        </w:rPr>
        <w:t>s</w:t>
      </w:r>
      <w:r w:rsidRPr="00A72D4F" w:rsidR="004D58DF">
        <w:rPr>
          <w:rFonts w:cs="Arial"/>
        </w:rPr>
        <w:t xml:space="preserve"> closely with providers, support staff, a</w:t>
      </w:r>
      <w:r w:rsidR="004D58DF">
        <w:rPr>
          <w:rFonts w:cs="Arial"/>
        </w:rPr>
        <w:t xml:space="preserve">nd community partners. </w:t>
      </w:r>
      <w:r w:rsidRPr="00CF6183">
        <w:rPr>
          <w:rFonts w:cs="Arial"/>
        </w:rPr>
        <w:t>In addition, the resident will be involved in research, education, committee work, and stewardship activities which pr</w:t>
      </w:r>
      <w:r w:rsidR="00117FC4">
        <w:rPr>
          <w:rFonts w:cs="Arial"/>
        </w:rPr>
        <w:t>omote optimal patient outcomes.</w:t>
      </w:r>
      <w:r w:rsidRPr="00CF6183">
        <w:rPr>
          <w:rFonts w:cs="Arial"/>
        </w:rPr>
        <w:t xml:space="preserve"> Upon </w:t>
      </w:r>
      <w:r w:rsidR="00117FC4">
        <w:rPr>
          <w:rFonts w:cs="Arial"/>
        </w:rPr>
        <w:t xml:space="preserve">successful </w:t>
      </w:r>
      <w:r w:rsidRPr="00CF6183">
        <w:rPr>
          <w:rFonts w:cs="Arial"/>
        </w:rPr>
        <w:t>completion of the re</w:t>
      </w:r>
      <w:r w:rsidR="00117FC4">
        <w:rPr>
          <w:rFonts w:cs="Arial"/>
        </w:rPr>
        <w:t>sidency, the resident will be prepared to be an</w:t>
      </w:r>
      <w:r w:rsidRPr="00CF6183">
        <w:rPr>
          <w:rFonts w:cs="Arial"/>
        </w:rPr>
        <w:t xml:space="preserve"> ambulatory care clinical pharmacy specialist.</w:t>
      </w:r>
    </w:p>
    <w:p w:rsidRPr="00CB5E0B" w:rsidR="0039397D" w:rsidP="00F82DCD" w:rsidRDefault="0039397D" w14:paraId="2DF35F64" w14:textId="77777777">
      <w:pPr>
        <w:spacing w:after="0"/>
        <w:rPr>
          <w:rFonts w:cs="Arial"/>
          <w:sz w:val="12"/>
          <w:szCs w:val="12"/>
        </w:rPr>
      </w:pPr>
    </w:p>
    <w:p w:rsidR="00516932" w:rsidP="00F82DCD" w:rsidRDefault="00516932" w14:paraId="5A1D6A20" w14:textId="77777777">
      <w:pPr>
        <w:spacing w:after="0"/>
        <w:rPr>
          <w:rFonts w:cs="Arial"/>
          <w:b/>
          <w:color w:val="1F497D" w:themeColor="text2"/>
          <w:sz w:val="24"/>
          <w:szCs w:val="24"/>
        </w:rPr>
      </w:pPr>
    </w:p>
    <w:p w:rsidR="00516932" w:rsidP="00F82DCD" w:rsidRDefault="00516932" w14:paraId="4D397457" w14:textId="77777777">
      <w:pPr>
        <w:spacing w:after="0"/>
        <w:rPr>
          <w:rFonts w:cs="Arial"/>
          <w:b/>
          <w:color w:val="1F497D" w:themeColor="text2"/>
          <w:sz w:val="24"/>
          <w:szCs w:val="24"/>
        </w:rPr>
      </w:pPr>
    </w:p>
    <w:p w:rsidRPr="00581C89" w:rsidR="0070114B" w:rsidP="00F82DCD" w:rsidRDefault="0039397D" w14:paraId="6C9F54D2" w14:textId="77777777">
      <w:pPr>
        <w:spacing w:after="0"/>
        <w:rPr>
          <w:rFonts w:cs="Arial"/>
          <w:b/>
          <w:color w:val="1F497D" w:themeColor="text2"/>
          <w:sz w:val="24"/>
          <w:szCs w:val="24"/>
        </w:rPr>
      </w:pPr>
      <w:r w:rsidRPr="00581C89">
        <w:rPr>
          <w:rFonts w:cs="Arial"/>
          <w:b/>
          <w:color w:val="1F497D" w:themeColor="text2"/>
          <w:sz w:val="24"/>
          <w:szCs w:val="24"/>
        </w:rPr>
        <w:t xml:space="preserve">Residency Program </w:t>
      </w:r>
      <w:r w:rsidRPr="00581C89" w:rsidR="0070114B">
        <w:rPr>
          <w:rFonts w:cs="Arial"/>
          <w:b/>
          <w:color w:val="1F497D" w:themeColor="text2"/>
          <w:sz w:val="24"/>
          <w:szCs w:val="24"/>
        </w:rPr>
        <w:t>Mission and Educational Outcomes</w:t>
      </w:r>
    </w:p>
    <w:p w:rsidRPr="003D6DCE" w:rsidR="003D6DCE" w:rsidP="00F82DCD" w:rsidRDefault="003D6DCE" w14:paraId="3785DFCB" w14:textId="77777777">
      <w:pPr>
        <w:spacing w:after="0"/>
        <w:rPr>
          <w:rFonts w:cs="Arial"/>
        </w:rPr>
      </w:pPr>
      <w:r>
        <w:rPr>
          <w:rFonts w:cs="Arial"/>
        </w:rPr>
        <w:t xml:space="preserve">The PMG Department of Pharmacy Services is committed to providing a pharmacy resident training program necessary to ensure the ongoing availability of competent pharmacy practitioners with the knowledge and skills required to promote, recommend, design, and deliver quality pharmaceutical care services. </w:t>
      </w:r>
    </w:p>
    <w:p w:rsidRPr="00340AC2" w:rsidR="0070114B" w:rsidP="00F82DCD" w:rsidRDefault="0070114B" w14:paraId="25E750FB" w14:textId="77777777">
      <w:pPr>
        <w:spacing w:after="0"/>
        <w:rPr>
          <w:rFonts w:ascii="Calibri" w:hAnsi="Calibri" w:eastAsia="Calibri" w:cs="Times New Roman"/>
          <w:i/>
          <w:sz w:val="18"/>
          <w:szCs w:val="18"/>
        </w:rPr>
      </w:pPr>
    </w:p>
    <w:p w:rsidR="0039397D" w:rsidP="00F82DCD" w:rsidRDefault="003D6DCE" w14:paraId="361A65AE" w14:textId="17C9597B">
      <w:pPr>
        <w:spacing w:after="0"/>
        <w:rPr>
          <w:rFonts w:ascii="Calibri" w:hAnsi="Calibri" w:eastAsia="Calibri" w:cs="Times New Roman"/>
        </w:rPr>
      </w:pPr>
      <w:r w:rsidRPr="003D6DCE">
        <w:rPr>
          <w:rFonts w:ascii="Calibri" w:hAnsi="Calibri" w:eastAsia="Calibri" w:cs="Times New Roman"/>
        </w:rPr>
        <w:t xml:space="preserve">The PMG </w:t>
      </w:r>
      <w:r w:rsidR="00394F13">
        <w:rPr>
          <w:rFonts w:ascii="Calibri" w:hAnsi="Calibri" w:eastAsia="Calibri" w:cs="Times New Roman"/>
        </w:rPr>
        <w:t xml:space="preserve">PGY2 </w:t>
      </w:r>
      <w:r w:rsidRPr="003D6DCE">
        <w:rPr>
          <w:rFonts w:ascii="Calibri" w:hAnsi="Calibri" w:eastAsia="Calibri" w:cs="Times New Roman"/>
        </w:rPr>
        <w:t>Ambulatory Care Pharmacy Residency program</w:t>
      </w:r>
      <w:r w:rsidR="004D58DF">
        <w:rPr>
          <w:rFonts w:ascii="Calibri" w:hAnsi="Calibri" w:eastAsia="Calibri" w:cs="Times New Roman"/>
        </w:rPr>
        <w:t>s</w:t>
      </w:r>
      <w:r w:rsidRPr="003D6DCE">
        <w:rPr>
          <w:rFonts w:ascii="Calibri" w:hAnsi="Calibri" w:eastAsia="Calibri" w:cs="Times New Roman"/>
        </w:rPr>
        <w:t xml:space="preserve"> </w:t>
      </w:r>
      <w:r w:rsidR="004D58DF">
        <w:rPr>
          <w:rFonts w:ascii="Calibri" w:hAnsi="Calibri" w:eastAsia="Calibri" w:cs="Times New Roman"/>
        </w:rPr>
        <w:t>are</w:t>
      </w:r>
      <w:r w:rsidRPr="003D6DCE">
        <w:rPr>
          <w:rFonts w:ascii="Calibri" w:hAnsi="Calibri" w:eastAsia="Calibri" w:cs="Times New Roman"/>
        </w:rPr>
        <w:t xml:space="preserve"> dedicated to providing the resident with the knowledge, attitude and skills necessary to pursue a practice environment focused on optimal patient drug therapy outcomes</w:t>
      </w:r>
      <w:r w:rsidR="005B3840">
        <w:rPr>
          <w:rFonts w:ascii="Calibri" w:hAnsi="Calibri" w:eastAsia="Calibri" w:cs="Times New Roman"/>
        </w:rPr>
        <w:t>, in accordance with the ASHP PGY2 Ambulatory Care</w:t>
      </w:r>
      <w:r w:rsidR="00394F13">
        <w:rPr>
          <w:rFonts w:ascii="Calibri" w:hAnsi="Calibri" w:eastAsia="Calibri" w:cs="Times New Roman"/>
        </w:rPr>
        <w:t xml:space="preserve"> Pharmacy</w:t>
      </w:r>
      <w:r w:rsidR="005B3840">
        <w:rPr>
          <w:rFonts w:ascii="Calibri" w:hAnsi="Calibri" w:eastAsia="Calibri" w:cs="Times New Roman"/>
        </w:rPr>
        <w:t xml:space="preserve"> Residency Standards</w:t>
      </w:r>
      <w:r w:rsidRPr="003D6DCE">
        <w:rPr>
          <w:rFonts w:ascii="Calibri" w:hAnsi="Calibri" w:eastAsia="Calibri" w:cs="Times New Roman"/>
        </w:rPr>
        <w:t xml:space="preserve">.  </w:t>
      </w:r>
      <w:r w:rsidRPr="003D6DCE" w:rsidR="0039397D">
        <w:rPr>
          <w:rFonts w:ascii="Calibri" w:hAnsi="Calibri" w:eastAsia="Calibri" w:cs="Times New Roman"/>
        </w:rPr>
        <w:t>By the end of the residency program, the resident should be able to:</w:t>
      </w:r>
    </w:p>
    <w:p w:rsidR="003D6DCE" w:rsidP="00F82DCD" w:rsidRDefault="004B501E" w14:paraId="2DBB9C67" w14:textId="77777777">
      <w:pPr>
        <w:pStyle w:val="ListParagraph"/>
        <w:numPr>
          <w:ilvl w:val="0"/>
          <w:numId w:val="28"/>
        </w:numPr>
        <w:spacing w:after="0"/>
        <w:rPr>
          <w:rFonts w:ascii="Calibri" w:hAnsi="Calibri" w:eastAsia="Calibri" w:cs="Times New Roman"/>
        </w:rPr>
      </w:pPr>
      <w:r>
        <w:rPr>
          <w:rFonts w:ascii="Calibri" w:hAnsi="Calibri" w:eastAsia="Calibri" w:cs="Times New Roman"/>
        </w:rPr>
        <w:t>Establish a collaborative interdisciplinary practice</w:t>
      </w:r>
    </w:p>
    <w:p w:rsidR="004B501E" w:rsidP="00F82DCD" w:rsidRDefault="004B501E" w14:paraId="116BED3E" w14:textId="590EE6A4">
      <w:pPr>
        <w:pStyle w:val="ListParagraph"/>
        <w:numPr>
          <w:ilvl w:val="0"/>
          <w:numId w:val="28"/>
        </w:numPr>
        <w:spacing w:after="0"/>
        <w:rPr>
          <w:rFonts w:ascii="Calibri" w:hAnsi="Calibri" w:eastAsia="Calibri" w:cs="Times New Roman"/>
        </w:rPr>
      </w:pPr>
      <w:r>
        <w:rPr>
          <w:rFonts w:ascii="Calibri" w:hAnsi="Calibri" w:eastAsia="Calibri" w:cs="Times New Roman"/>
        </w:rPr>
        <w:t>Provide evidence-based, patient-centered treatment for chronic and/or acute illnesses</w:t>
      </w:r>
    </w:p>
    <w:p w:rsidR="004B501E" w:rsidP="00F82DCD" w:rsidRDefault="004B501E" w14:paraId="7479247C" w14:textId="77777777">
      <w:pPr>
        <w:pStyle w:val="ListParagraph"/>
        <w:numPr>
          <w:ilvl w:val="0"/>
          <w:numId w:val="28"/>
        </w:numPr>
        <w:spacing w:after="0"/>
        <w:rPr>
          <w:rFonts w:ascii="Calibri" w:hAnsi="Calibri" w:eastAsia="Calibri" w:cs="Times New Roman"/>
        </w:rPr>
      </w:pPr>
      <w:r>
        <w:rPr>
          <w:rFonts w:ascii="Calibri" w:hAnsi="Calibri" w:eastAsia="Calibri" w:cs="Times New Roman"/>
        </w:rPr>
        <w:t>Demonstrate leadership and practice management skills</w:t>
      </w:r>
    </w:p>
    <w:p w:rsidR="004B501E" w:rsidP="00F82DCD" w:rsidRDefault="004B501E" w14:paraId="66799564" w14:textId="77777777">
      <w:pPr>
        <w:pStyle w:val="ListParagraph"/>
        <w:numPr>
          <w:ilvl w:val="0"/>
          <w:numId w:val="28"/>
        </w:numPr>
        <w:spacing w:after="0"/>
        <w:rPr>
          <w:rFonts w:ascii="Calibri" w:hAnsi="Calibri" w:eastAsia="Calibri" w:cs="Times New Roman"/>
        </w:rPr>
      </w:pPr>
      <w:r>
        <w:rPr>
          <w:rFonts w:ascii="Calibri" w:hAnsi="Calibri" w:eastAsia="Calibri" w:cs="Times New Roman"/>
        </w:rPr>
        <w:t>Promote health improvement, wellness, and disease prevention</w:t>
      </w:r>
    </w:p>
    <w:p w:rsidR="004B501E" w:rsidP="00F82DCD" w:rsidRDefault="004B501E" w14:paraId="61651057" w14:textId="2BB307A2">
      <w:pPr>
        <w:pStyle w:val="ListParagraph"/>
        <w:numPr>
          <w:ilvl w:val="0"/>
          <w:numId w:val="28"/>
        </w:numPr>
        <w:spacing w:after="0"/>
        <w:rPr>
          <w:rFonts w:ascii="Calibri" w:hAnsi="Calibri" w:eastAsia="Calibri" w:cs="Times New Roman"/>
        </w:rPr>
      </w:pPr>
      <w:r>
        <w:rPr>
          <w:rFonts w:ascii="Calibri" w:hAnsi="Calibri" w:eastAsia="Calibri" w:cs="Times New Roman"/>
        </w:rPr>
        <w:t xml:space="preserve">Demonstrate excellence in the provision of training or educational </w:t>
      </w:r>
    </w:p>
    <w:p w:rsidRPr="003D6DCE" w:rsidR="004B501E" w:rsidP="00F82DCD" w:rsidRDefault="004B501E" w14:paraId="7D30D2D6" w14:textId="77777777">
      <w:pPr>
        <w:pStyle w:val="ListParagraph"/>
        <w:numPr>
          <w:ilvl w:val="0"/>
          <w:numId w:val="28"/>
        </w:numPr>
        <w:spacing w:after="0"/>
        <w:rPr>
          <w:rFonts w:ascii="Calibri" w:hAnsi="Calibri" w:eastAsia="Calibri" w:cs="Times New Roman"/>
        </w:rPr>
      </w:pPr>
      <w:r>
        <w:rPr>
          <w:rFonts w:ascii="Calibri" w:hAnsi="Calibri" w:eastAsia="Calibri" w:cs="Times New Roman"/>
        </w:rPr>
        <w:t>Serve as an authoritative resource on the optimal use of medications</w:t>
      </w:r>
    </w:p>
    <w:p w:rsidRPr="00255783" w:rsidR="00ED5A14" w:rsidP="00F82DCD" w:rsidRDefault="00ED5A14" w14:paraId="2584018F" w14:textId="77777777">
      <w:pPr>
        <w:spacing w:after="0"/>
        <w:rPr>
          <w:rFonts w:cs="Arial"/>
          <w:b/>
          <w:color w:val="1F497D" w:themeColor="text2"/>
          <w:sz w:val="12"/>
          <w:szCs w:val="12"/>
        </w:rPr>
      </w:pPr>
    </w:p>
    <w:p w:rsidR="0039397D" w:rsidP="00F82DCD" w:rsidRDefault="0070114B" w14:paraId="7931F1A7" w14:textId="77777777">
      <w:pPr>
        <w:spacing w:after="0"/>
        <w:rPr>
          <w:rFonts w:cs="Arial"/>
          <w:b/>
          <w:color w:val="1F497D" w:themeColor="text2"/>
          <w:sz w:val="24"/>
          <w:szCs w:val="24"/>
        </w:rPr>
      </w:pPr>
      <w:r w:rsidRPr="00581C89">
        <w:rPr>
          <w:rFonts w:cs="Arial"/>
          <w:b/>
          <w:color w:val="1F497D" w:themeColor="text2"/>
          <w:sz w:val="24"/>
          <w:szCs w:val="24"/>
        </w:rPr>
        <w:t>Residency Program Purpose Statement</w:t>
      </w:r>
    </w:p>
    <w:p w:rsidR="00394F13" w:rsidP="00394F13" w:rsidRDefault="00394F13" w14:paraId="29689E7B" w14:textId="77777777">
      <w:pPr>
        <w:spacing w:after="0" w:line="240" w:lineRule="auto"/>
        <w:rPr>
          <w:rFonts w:cs="Arial"/>
        </w:rPr>
      </w:pPr>
      <w:r w:rsidRPr="003F133B">
        <w:rPr>
          <w:rFonts w:cs="Arial"/>
        </w:rPr>
        <w:t>PGY2 pharmacy residency programs build on Doctor of Pharmacy (Pharm.D.) education and PGY1 pharmacy residency programs to contribute to the development of clinical pharmacists in specialized areas of practice. PGY2 residencies provide residents with opportunities to function independently as practitioners by conceptualizing and integrating accumulated experience and knowledge and incorporating both into the provision of patient care or other advanced practice settings. Residents who successfully complete an accredited PGY2 pharmacy residency are prepared for advanced patient care, academic, or other specialized positions, along with board certification, if available.</w:t>
      </w:r>
    </w:p>
    <w:p w:rsidRPr="00255783" w:rsidR="00394F13" w:rsidP="00F82DCD" w:rsidRDefault="00394F13" w14:paraId="6520542D" w14:textId="77777777">
      <w:pPr>
        <w:spacing w:after="0"/>
        <w:rPr>
          <w:rFonts w:cs="Arial"/>
          <w:b/>
          <w:color w:val="1F497D" w:themeColor="text2"/>
          <w:sz w:val="12"/>
          <w:szCs w:val="12"/>
        </w:rPr>
      </w:pPr>
    </w:p>
    <w:p w:rsidRPr="00E706EA" w:rsidR="00340AC2" w:rsidP="00340AC2" w:rsidRDefault="00340AC2" w14:paraId="0C109645" w14:textId="0E389477">
      <w:pPr>
        <w:spacing w:after="0" w:line="240" w:lineRule="auto"/>
        <w:rPr>
          <w:rFonts w:cs="Arial"/>
        </w:rPr>
      </w:pPr>
      <w:r>
        <w:rPr>
          <w:rFonts w:cs="Arial"/>
        </w:rPr>
        <w:t>The purpose of th</w:t>
      </w:r>
      <w:r w:rsidR="00394F13">
        <w:rPr>
          <w:rFonts w:cs="Arial"/>
        </w:rPr>
        <w:t xml:space="preserve">is </w:t>
      </w:r>
      <w:r>
        <w:rPr>
          <w:rFonts w:cs="Arial"/>
        </w:rPr>
        <w:t xml:space="preserve">PGY2 Ambulatory Care </w:t>
      </w:r>
      <w:r w:rsidR="00394F13">
        <w:rPr>
          <w:rFonts w:cs="Arial"/>
        </w:rPr>
        <w:t xml:space="preserve">Pharmacy </w:t>
      </w:r>
      <w:r>
        <w:rPr>
          <w:rFonts w:cs="Arial"/>
        </w:rPr>
        <w:t xml:space="preserve">Residency program is to prepare ambulatory care </w:t>
      </w:r>
      <w:r w:rsidR="00A20D01">
        <w:rPr>
          <w:rFonts w:cs="Arial"/>
        </w:rPr>
        <w:t>residents</w:t>
      </w:r>
      <w:r>
        <w:rPr>
          <w:rFonts w:cs="Arial"/>
        </w:rPr>
        <w:t xml:space="preserve"> to function as provider</w:t>
      </w:r>
      <w:r w:rsidR="00460D68">
        <w:rPr>
          <w:rFonts w:cs="Arial"/>
        </w:rPr>
        <w:t>s</w:t>
      </w:r>
      <w:r>
        <w:rPr>
          <w:rFonts w:cs="Arial"/>
        </w:rPr>
        <w:t xml:space="preserve"> of adult primary care as member</w:t>
      </w:r>
      <w:r w:rsidR="00460D68">
        <w:rPr>
          <w:rFonts w:cs="Arial"/>
        </w:rPr>
        <w:t>s</w:t>
      </w:r>
      <w:r>
        <w:rPr>
          <w:rFonts w:cs="Arial"/>
        </w:rPr>
        <w:t xml:space="preserve"> of an interdisciplinary practice. The resident will be qualified to sit for the ambulatory care board certification exam, as well as provide high quality ambulatory care pharmacy services in a traditional ambulatory care or academic setting.</w:t>
      </w:r>
    </w:p>
    <w:p w:rsidRPr="00255783" w:rsidR="002C284E" w:rsidP="00F82DCD" w:rsidRDefault="002C284E" w14:paraId="343D2119" w14:textId="77777777">
      <w:pPr>
        <w:autoSpaceDE w:val="0"/>
        <w:autoSpaceDN w:val="0"/>
        <w:adjustRightInd w:val="0"/>
        <w:spacing w:after="0"/>
        <w:rPr>
          <w:rFonts w:cs="Arial"/>
          <w:sz w:val="12"/>
          <w:szCs w:val="12"/>
        </w:rPr>
      </w:pPr>
    </w:p>
    <w:p w:rsidR="00CD6EF8" w:rsidP="00BE552F" w:rsidRDefault="002C284E" w14:paraId="282B8DC1" w14:textId="77777777">
      <w:pPr>
        <w:autoSpaceDE w:val="0"/>
        <w:autoSpaceDN w:val="0"/>
        <w:adjustRightInd w:val="0"/>
        <w:spacing w:after="0"/>
        <w:outlineLvl w:val="0"/>
        <w:rPr>
          <w:rFonts w:cs="Arial"/>
        </w:rPr>
      </w:pPr>
      <w:r w:rsidRPr="00F11106">
        <w:rPr>
          <w:rFonts w:cs="Arial"/>
          <w:b/>
          <w:color w:val="003678"/>
          <w:sz w:val="24"/>
          <w:szCs w:val="24"/>
        </w:rPr>
        <w:t>Pharmacy Resident Advisor</w:t>
      </w:r>
    </w:p>
    <w:p w:rsidR="00CD6EF8" w:rsidP="00BE552F" w:rsidRDefault="002C284E" w14:paraId="29E9FE81" w14:textId="1857214A">
      <w:pPr>
        <w:autoSpaceDE w:val="0"/>
        <w:autoSpaceDN w:val="0"/>
        <w:adjustRightInd w:val="0"/>
        <w:spacing w:after="0"/>
        <w:outlineLvl w:val="0"/>
        <w:rPr>
          <w:rFonts w:cs="Arial"/>
        </w:rPr>
      </w:pPr>
      <w:r w:rsidRPr="0039397D">
        <w:rPr>
          <w:rFonts w:cs="Arial"/>
        </w:rPr>
        <w:t xml:space="preserve">Mentoring, advising, and </w:t>
      </w:r>
      <w:r w:rsidR="00340AC2">
        <w:rPr>
          <w:rFonts w:cs="Arial"/>
        </w:rPr>
        <w:t xml:space="preserve">maintaining </w:t>
      </w:r>
      <w:r w:rsidRPr="0039397D">
        <w:rPr>
          <w:rFonts w:cs="Arial"/>
        </w:rPr>
        <w:t>open communication is vital to the success of the PMG PGY2 Amb</w:t>
      </w:r>
      <w:r w:rsidR="00117FC4">
        <w:rPr>
          <w:rFonts w:cs="Arial"/>
        </w:rPr>
        <w:t>ulatory Care Residency Program.</w:t>
      </w:r>
      <w:r w:rsidRPr="0039397D">
        <w:rPr>
          <w:rFonts w:cs="Arial"/>
        </w:rPr>
        <w:t xml:space="preserve"> </w:t>
      </w:r>
      <w:r w:rsidR="00394F13">
        <w:rPr>
          <w:rFonts w:cs="Arial"/>
        </w:rPr>
        <w:t xml:space="preserve">Each </w:t>
      </w:r>
      <w:r w:rsidRPr="0039397D">
        <w:rPr>
          <w:rFonts w:cs="Arial"/>
        </w:rPr>
        <w:t>resident will be assigned an individual Resident Advisor for the year.</w:t>
      </w:r>
    </w:p>
    <w:p w:rsidRPr="00340AC2" w:rsidR="002C284E" w:rsidP="00F82DCD" w:rsidRDefault="002C284E" w14:paraId="10D56917" w14:textId="77777777">
      <w:pPr>
        <w:autoSpaceDE w:val="0"/>
        <w:autoSpaceDN w:val="0"/>
        <w:adjustRightInd w:val="0"/>
        <w:spacing w:after="0"/>
        <w:rPr>
          <w:rFonts w:cs="Arial"/>
          <w:sz w:val="18"/>
          <w:szCs w:val="18"/>
        </w:rPr>
      </w:pPr>
    </w:p>
    <w:p w:rsidRPr="0039397D" w:rsidR="002C284E" w:rsidP="00F82DCD" w:rsidRDefault="002C284E" w14:paraId="662D631B" w14:textId="77777777">
      <w:pPr>
        <w:autoSpaceDE w:val="0"/>
        <w:autoSpaceDN w:val="0"/>
        <w:adjustRightInd w:val="0"/>
        <w:spacing w:after="0"/>
        <w:rPr>
          <w:rFonts w:cs="Arial"/>
        </w:rPr>
      </w:pPr>
      <w:r w:rsidRPr="0039397D">
        <w:rPr>
          <w:rFonts w:cs="Arial"/>
        </w:rPr>
        <w:t>The role of the Resident Advisor is to act as a personal contact for the resident in order to ensure the</w:t>
      </w:r>
      <w:r w:rsidRPr="0039397D" w:rsidR="00175D30">
        <w:rPr>
          <w:rFonts w:cs="Arial"/>
        </w:rPr>
        <w:t>y</w:t>
      </w:r>
      <w:r w:rsidRPr="0039397D">
        <w:rPr>
          <w:rFonts w:cs="Arial"/>
        </w:rPr>
        <w:t xml:space="preserve"> </w:t>
      </w:r>
      <w:r w:rsidRPr="0039397D" w:rsidR="00175D30">
        <w:rPr>
          <w:rFonts w:cs="Arial"/>
        </w:rPr>
        <w:t>are</w:t>
      </w:r>
      <w:r w:rsidRPr="0039397D">
        <w:rPr>
          <w:rFonts w:cs="Arial"/>
        </w:rPr>
        <w:t xml:space="preserve"> on track to successfully fulfill the requirements of the PGY2 program. The Resident Advisor will work with the resident on the following:</w:t>
      </w:r>
    </w:p>
    <w:p w:rsidRPr="0039397D" w:rsidR="002C284E" w:rsidP="00F82DCD" w:rsidRDefault="002C284E" w14:paraId="0EAC93B1" w14:textId="77777777">
      <w:pPr>
        <w:pStyle w:val="ListParagraph"/>
        <w:numPr>
          <w:ilvl w:val="0"/>
          <w:numId w:val="12"/>
        </w:numPr>
        <w:autoSpaceDE w:val="0"/>
        <w:autoSpaceDN w:val="0"/>
        <w:adjustRightInd w:val="0"/>
        <w:spacing w:after="0"/>
        <w:rPr>
          <w:rFonts w:cs="Arial"/>
        </w:rPr>
      </w:pPr>
      <w:r w:rsidRPr="0039397D">
        <w:rPr>
          <w:rFonts w:cs="Arial"/>
        </w:rPr>
        <w:t>Serving as a liaison between the resident and the RAC, clinic staff, PMG staff, and other PH&amp;S departments as needed.</w:t>
      </w:r>
    </w:p>
    <w:p w:rsidR="002C284E" w:rsidP="00F82DCD" w:rsidRDefault="002C284E" w14:paraId="0DAA9B89" w14:textId="77777777">
      <w:pPr>
        <w:pStyle w:val="ListParagraph"/>
        <w:numPr>
          <w:ilvl w:val="0"/>
          <w:numId w:val="12"/>
        </w:numPr>
        <w:autoSpaceDE w:val="0"/>
        <w:autoSpaceDN w:val="0"/>
        <w:adjustRightInd w:val="0"/>
        <w:spacing w:after="0"/>
        <w:rPr>
          <w:rFonts w:cs="Arial"/>
        </w:rPr>
      </w:pPr>
      <w:r w:rsidRPr="0039397D">
        <w:rPr>
          <w:rFonts w:cs="Arial"/>
        </w:rPr>
        <w:t>Advising on projects (development of timelines, keeping deadlines, workflow development, etc), time management, professional interpersonal relationships, professional development, conflict management, career opportunities, and other pertinent residency-related issues.</w:t>
      </w:r>
    </w:p>
    <w:p w:rsidRPr="00255783" w:rsidR="00184364" w:rsidP="00F82DCD" w:rsidRDefault="00184364" w14:paraId="651D8D04" w14:textId="77777777">
      <w:pPr>
        <w:autoSpaceDE w:val="0"/>
        <w:autoSpaceDN w:val="0"/>
        <w:adjustRightInd w:val="0"/>
        <w:spacing w:after="0"/>
        <w:rPr>
          <w:rFonts w:cs="Arial"/>
          <w:sz w:val="12"/>
          <w:szCs w:val="12"/>
        </w:rPr>
      </w:pPr>
    </w:p>
    <w:p w:rsidR="00516932" w:rsidP="00F82DCD" w:rsidRDefault="00516932" w14:paraId="520E68F6" w14:textId="77777777">
      <w:pPr>
        <w:autoSpaceDE w:val="0"/>
        <w:autoSpaceDN w:val="0"/>
        <w:adjustRightInd w:val="0"/>
        <w:spacing w:after="0"/>
        <w:rPr>
          <w:rFonts w:cs="Arial"/>
          <w:b/>
          <w:color w:val="1F497D" w:themeColor="text2"/>
          <w:sz w:val="24"/>
          <w:szCs w:val="24"/>
        </w:rPr>
      </w:pPr>
    </w:p>
    <w:p w:rsidRPr="00184364" w:rsidR="00184364" w:rsidP="00F82DCD" w:rsidRDefault="00184364" w14:paraId="39B7BFC6" w14:textId="22DB8BA1">
      <w:pPr>
        <w:autoSpaceDE w:val="0"/>
        <w:autoSpaceDN w:val="0"/>
        <w:adjustRightInd w:val="0"/>
        <w:spacing w:after="0"/>
        <w:rPr>
          <w:rFonts w:cs="Arial"/>
          <w:b/>
          <w:color w:val="1F497D" w:themeColor="text2"/>
          <w:sz w:val="24"/>
          <w:szCs w:val="24"/>
        </w:rPr>
      </w:pPr>
      <w:r w:rsidRPr="00184364">
        <w:rPr>
          <w:rFonts w:cs="Arial"/>
          <w:b/>
          <w:color w:val="1F497D" w:themeColor="text2"/>
          <w:sz w:val="24"/>
          <w:szCs w:val="24"/>
        </w:rPr>
        <w:t>Residency Advisory Committee</w:t>
      </w:r>
    </w:p>
    <w:p w:rsidRPr="00213CE9" w:rsidR="00007024" w:rsidP="00F82DCD" w:rsidRDefault="00213CE9" w14:paraId="5944E94B" w14:textId="7DD5ED53">
      <w:pPr>
        <w:autoSpaceDE w:val="0"/>
        <w:autoSpaceDN w:val="0"/>
        <w:adjustRightInd w:val="0"/>
        <w:spacing w:after="0"/>
        <w:rPr>
          <w:rFonts w:cs="Arial"/>
        </w:rPr>
      </w:pPr>
      <w:r>
        <w:rPr>
          <w:rFonts w:cs="Arial"/>
        </w:rPr>
        <w:t xml:space="preserve">The Residency Advisory Committee (RAC), composed of pharmacist preceptors, will meet at least quarterly to discuss each resident’s progression towards achievement of the PGY2 Ambulatory Care </w:t>
      </w:r>
      <w:r w:rsidR="00117FC4">
        <w:rPr>
          <w:rFonts w:cs="Arial"/>
        </w:rPr>
        <w:t xml:space="preserve">Standard Goals and Objectives. </w:t>
      </w:r>
      <w:r>
        <w:rPr>
          <w:rFonts w:cs="Arial"/>
        </w:rPr>
        <w:t xml:space="preserve">The RAC maintains the right to determine if a resident has successfully completed </w:t>
      </w:r>
      <w:r w:rsidR="00117FC4">
        <w:rPr>
          <w:rFonts w:cs="Arial"/>
        </w:rPr>
        <w:t>a required learning experience.</w:t>
      </w:r>
      <w:r>
        <w:rPr>
          <w:rFonts w:cs="Arial"/>
        </w:rPr>
        <w:t xml:space="preserve"> If, in the determination of the RAC, the resident has not successfully completed a learning experience, the resident may be asked to repeat the rotation or project. The RAC will also be responsible for reviewing and updating learning experience descriptions, policies and procedures, and workflows as needed.</w:t>
      </w:r>
    </w:p>
    <w:p w:rsidRPr="00255783" w:rsidR="00AF6B85" w:rsidP="00F82DCD" w:rsidRDefault="00AF6B85" w14:paraId="43B6BE55" w14:textId="77777777">
      <w:pPr>
        <w:autoSpaceDE w:val="0"/>
        <w:autoSpaceDN w:val="0"/>
        <w:adjustRightInd w:val="0"/>
        <w:spacing w:after="0"/>
        <w:outlineLvl w:val="0"/>
        <w:rPr>
          <w:rFonts w:cs="Arial"/>
          <w:b/>
          <w:color w:val="17365D" w:themeColor="text2" w:themeShade="BF"/>
          <w:sz w:val="12"/>
          <w:szCs w:val="12"/>
          <w:u w:val="single"/>
        </w:rPr>
      </w:pPr>
    </w:p>
    <w:p w:rsidRPr="00F7343B" w:rsidR="00184364" w:rsidP="00F82DCD" w:rsidRDefault="00184364" w14:paraId="17D4E0DF" w14:textId="714BA7FE">
      <w:pPr>
        <w:autoSpaceDE w:val="0"/>
        <w:autoSpaceDN w:val="0"/>
        <w:adjustRightInd w:val="0"/>
        <w:spacing w:after="0"/>
        <w:outlineLvl w:val="0"/>
        <w:rPr>
          <w:rFonts w:cs="Arial"/>
          <w:b/>
          <w:color w:val="17365D" w:themeColor="text2" w:themeShade="BF"/>
          <w:sz w:val="18"/>
          <w:szCs w:val="18"/>
          <w:u w:val="single"/>
        </w:rPr>
      </w:pPr>
      <w:r>
        <w:rPr>
          <w:rFonts w:cs="Arial"/>
          <w:b/>
          <w:color w:val="17365D" w:themeColor="text2" w:themeShade="BF"/>
          <w:sz w:val="28"/>
          <w:szCs w:val="28"/>
          <w:u w:val="single"/>
        </w:rPr>
        <w:t xml:space="preserve">Resident </w:t>
      </w:r>
      <w:r w:rsidR="00394F13">
        <w:rPr>
          <w:rFonts w:cs="Arial"/>
          <w:b/>
          <w:color w:val="17365D" w:themeColor="text2" w:themeShade="BF"/>
          <w:sz w:val="28"/>
          <w:szCs w:val="28"/>
          <w:u w:val="single"/>
        </w:rPr>
        <w:t>R</w:t>
      </w:r>
      <w:r>
        <w:rPr>
          <w:rFonts w:cs="Arial"/>
          <w:b/>
          <w:color w:val="17365D" w:themeColor="text2" w:themeShade="BF"/>
          <w:sz w:val="28"/>
          <w:szCs w:val="28"/>
          <w:u w:val="single"/>
        </w:rPr>
        <w:t xml:space="preserve">esponsibilities and </w:t>
      </w:r>
      <w:r w:rsidR="00394F13">
        <w:rPr>
          <w:rFonts w:cs="Arial"/>
          <w:b/>
          <w:color w:val="17365D" w:themeColor="text2" w:themeShade="BF"/>
          <w:sz w:val="28"/>
          <w:szCs w:val="28"/>
          <w:u w:val="single"/>
        </w:rPr>
        <w:t>R</w:t>
      </w:r>
      <w:r>
        <w:rPr>
          <w:rFonts w:cs="Arial"/>
          <w:b/>
          <w:color w:val="17365D" w:themeColor="text2" w:themeShade="BF"/>
          <w:sz w:val="28"/>
          <w:szCs w:val="28"/>
          <w:u w:val="single"/>
        </w:rPr>
        <w:t>equirements</w:t>
      </w:r>
    </w:p>
    <w:p w:rsidRPr="0039397D" w:rsidR="00184364" w:rsidP="00F82DCD" w:rsidRDefault="00184364" w14:paraId="5CC37E1D" w14:textId="77777777">
      <w:pPr>
        <w:spacing w:after="0"/>
        <w:outlineLvl w:val="0"/>
        <w:rPr>
          <w:rFonts w:cs="Arial"/>
          <w:b/>
        </w:rPr>
      </w:pPr>
      <w:r w:rsidRPr="0039397D">
        <w:rPr>
          <w:rFonts w:cs="Arial"/>
          <w:b/>
        </w:rPr>
        <w:t>Professional practice</w:t>
      </w:r>
    </w:p>
    <w:p w:rsidRPr="0039397D" w:rsidR="00184364" w:rsidP="00F82DCD" w:rsidRDefault="00184364" w14:paraId="52C9F3BA" w14:textId="7E78AEA9">
      <w:pPr>
        <w:pStyle w:val="ListParagraph"/>
        <w:numPr>
          <w:ilvl w:val="0"/>
          <w:numId w:val="5"/>
        </w:numPr>
        <w:spacing w:after="0"/>
        <w:rPr>
          <w:rFonts w:cs="Arial"/>
        </w:rPr>
      </w:pPr>
      <w:r w:rsidRPr="0039397D">
        <w:rPr>
          <w:rFonts w:cs="Arial"/>
        </w:rPr>
        <w:t xml:space="preserve">In accordance with </w:t>
      </w:r>
      <w:r w:rsidR="00394F13">
        <w:rPr>
          <w:rFonts w:cs="Arial"/>
        </w:rPr>
        <w:t>PSJH</w:t>
      </w:r>
      <w:r w:rsidRPr="0039397D">
        <w:rPr>
          <w:rFonts w:cs="Arial"/>
        </w:rPr>
        <w:t xml:space="preserve"> standards, as well as the profession of pharmacy, residents will demonstrate the highest level of professionalism at all times.</w:t>
      </w:r>
    </w:p>
    <w:p w:rsidRPr="0039397D" w:rsidR="00184364" w:rsidP="00F82DCD" w:rsidRDefault="00184364" w14:paraId="28981491" w14:textId="76D17F1B">
      <w:pPr>
        <w:pStyle w:val="ListParagraph"/>
        <w:numPr>
          <w:ilvl w:val="0"/>
          <w:numId w:val="5"/>
        </w:numPr>
        <w:spacing w:after="0"/>
        <w:rPr>
          <w:rFonts w:cs="Arial"/>
          <w:b/>
        </w:rPr>
      </w:pPr>
      <w:r w:rsidRPr="0039397D">
        <w:rPr>
          <w:rFonts w:cs="Arial"/>
        </w:rPr>
        <w:t xml:space="preserve">The resident must adhere to all </w:t>
      </w:r>
      <w:r w:rsidR="00394F13">
        <w:rPr>
          <w:rFonts w:cs="Arial"/>
        </w:rPr>
        <w:t>PSJH</w:t>
      </w:r>
      <w:r w:rsidRPr="0039397D">
        <w:rPr>
          <w:rFonts w:cs="Arial"/>
        </w:rPr>
        <w:t xml:space="preserve"> and Providence Medical Group policies and standards.</w:t>
      </w:r>
    </w:p>
    <w:p w:rsidRPr="0039397D" w:rsidR="00184364" w:rsidP="00F82DCD" w:rsidRDefault="00184364" w14:paraId="6D59CB06" w14:textId="77777777">
      <w:pPr>
        <w:pStyle w:val="ListParagraph"/>
        <w:numPr>
          <w:ilvl w:val="0"/>
          <w:numId w:val="5"/>
        </w:numPr>
        <w:spacing w:after="0"/>
        <w:rPr>
          <w:rFonts w:cs="Arial"/>
          <w:b/>
        </w:rPr>
      </w:pPr>
      <w:r w:rsidRPr="0039397D">
        <w:rPr>
          <w:rFonts w:cs="Arial"/>
        </w:rPr>
        <w:t xml:space="preserve">Residents are expected to attend all events as required by program preceptors and deemed necessary to successfully meet program requirements.  </w:t>
      </w:r>
    </w:p>
    <w:p w:rsidRPr="00255783" w:rsidR="00184364" w:rsidP="00F82DCD" w:rsidRDefault="00184364" w14:paraId="28CEA8E8" w14:textId="77777777">
      <w:pPr>
        <w:pStyle w:val="ListParagraph"/>
        <w:spacing w:after="0"/>
        <w:ind w:left="1080"/>
        <w:rPr>
          <w:rFonts w:cs="Arial"/>
          <w:b/>
          <w:sz w:val="12"/>
          <w:szCs w:val="12"/>
        </w:rPr>
      </w:pPr>
    </w:p>
    <w:p w:rsidRPr="0039397D" w:rsidR="00184364" w:rsidP="00F82DCD" w:rsidRDefault="00184364" w14:paraId="1B328C59" w14:textId="77777777">
      <w:pPr>
        <w:spacing w:after="0"/>
        <w:outlineLvl w:val="0"/>
        <w:rPr>
          <w:rFonts w:cs="Arial"/>
          <w:b/>
        </w:rPr>
      </w:pPr>
      <w:r w:rsidRPr="0039397D">
        <w:rPr>
          <w:rFonts w:cs="Arial"/>
          <w:b/>
        </w:rPr>
        <w:t>Clinic responsibilities</w:t>
      </w:r>
    </w:p>
    <w:p w:rsidRPr="0039397D" w:rsidR="00184364" w:rsidP="00F82DCD" w:rsidRDefault="00184364" w14:paraId="7D3EF16B" w14:textId="77777777">
      <w:pPr>
        <w:pStyle w:val="ListParagraph"/>
        <w:numPr>
          <w:ilvl w:val="0"/>
          <w:numId w:val="7"/>
        </w:numPr>
        <w:spacing w:after="0"/>
        <w:rPr>
          <w:rFonts w:cs="Arial"/>
        </w:rPr>
      </w:pPr>
      <w:r w:rsidRPr="0039397D">
        <w:rPr>
          <w:rFonts w:cs="Arial"/>
        </w:rPr>
        <w:t>The resident will arrive at clinic (either in person or telephonic) no later than 30 minutes prior</w:t>
      </w:r>
      <w:r w:rsidR="001E63FA">
        <w:rPr>
          <w:rFonts w:cs="Arial"/>
        </w:rPr>
        <w:t xml:space="preserve"> to the first scheduled patient (or at pre-determined with preceptor).</w:t>
      </w:r>
    </w:p>
    <w:p w:rsidR="00184364" w:rsidP="00F82DCD" w:rsidRDefault="00184364" w14:paraId="72C093D3" w14:textId="77777777">
      <w:pPr>
        <w:pStyle w:val="ListParagraph"/>
        <w:numPr>
          <w:ilvl w:val="0"/>
          <w:numId w:val="7"/>
        </w:numPr>
        <w:spacing w:after="0"/>
        <w:rPr>
          <w:rFonts w:cs="Arial"/>
        </w:rPr>
      </w:pPr>
      <w:r w:rsidRPr="0039397D">
        <w:rPr>
          <w:rFonts w:cs="Arial"/>
        </w:rPr>
        <w:t>The resident will bring appropriate physical assessment tools (stethoscope) to clinic</w:t>
      </w:r>
      <w:r w:rsidR="00FB4F8C">
        <w:rPr>
          <w:rFonts w:cs="Arial"/>
        </w:rPr>
        <w:t>.</w:t>
      </w:r>
      <w:r w:rsidRPr="0039397D">
        <w:rPr>
          <w:rFonts w:cs="Arial"/>
        </w:rPr>
        <w:t xml:space="preserve"> </w:t>
      </w:r>
    </w:p>
    <w:p w:rsidRPr="00255783" w:rsidR="00FB4F8C" w:rsidP="00F82DCD" w:rsidRDefault="00FB4F8C" w14:paraId="60F3EC87" w14:textId="77777777">
      <w:pPr>
        <w:spacing w:after="60"/>
        <w:rPr>
          <w:rFonts w:cs="Arial"/>
          <w:sz w:val="12"/>
          <w:szCs w:val="12"/>
        </w:rPr>
      </w:pPr>
    </w:p>
    <w:p w:rsidR="00F7343B" w:rsidP="00FB4F8C" w:rsidRDefault="00C14B5B" w14:paraId="08C5E005" w14:textId="23C0355E">
      <w:pPr>
        <w:spacing w:after="0"/>
        <w:rPr>
          <w:rFonts w:cs="Arial"/>
        </w:rPr>
      </w:pPr>
      <w:r>
        <w:rPr>
          <w:rFonts w:cs="Arial"/>
        </w:rPr>
        <w:t>The resident will establish themselves as an integrated member of the healthcare team.</w:t>
      </w:r>
      <w:r w:rsidR="00351104">
        <w:rPr>
          <w:rFonts w:cs="Arial"/>
        </w:rPr>
        <w:t xml:space="preserve"> </w:t>
      </w:r>
      <w:r w:rsidRPr="0039397D" w:rsidR="00002C17">
        <w:rPr>
          <w:rFonts w:cs="Arial"/>
        </w:rPr>
        <w:t>The resident will participate in a variety of activities</w:t>
      </w:r>
      <w:r w:rsidR="00117FC4">
        <w:rPr>
          <w:rFonts w:cs="Arial"/>
        </w:rPr>
        <w:t xml:space="preserve"> throughout the residency year.</w:t>
      </w:r>
      <w:r w:rsidRPr="0039397D" w:rsidR="00002C17">
        <w:rPr>
          <w:rFonts w:cs="Arial"/>
        </w:rPr>
        <w:t xml:space="preserve"> These activities are designed to assure competency with the educational goals and objectives as required by the PGY2 Ambulatory Care </w:t>
      </w:r>
      <w:r w:rsidR="00394F13">
        <w:rPr>
          <w:rFonts w:cs="Arial"/>
        </w:rPr>
        <w:t xml:space="preserve">Pharmacy Residency </w:t>
      </w:r>
      <w:r w:rsidRPr="0039397D" w:rsidR="00F279EF">
        <w:rPr>
          <w:rFonts w:cs="Arial"/>
        </w:rPr>
        <w:t>A</w:t>
      </w:r>
      <w:r w:rsidRPr="0039397D" w:rsidR="00002C17">
        <w:rPr>
          <w:rFonts w:cs="Arial"/>
        </w:rPr>
        <w:t xml:space="preserve">ccreditation </w:t>
      </w:r>
      <w:r w:rsidRPr="0039397D" w:rsidR="00F279EF">
        <w:rPr>
          <w:rFonts w:cs="Arial"/>
        </w:rPr>
        <w:t>S</w:t>
      </w:r>
      <w:r w:rsidR="00117FC4">
        <w:rPr>
          <w:rFonts w:cs="Arial"/>
        </w:rPr>
        <w:t>tandard.</w:t>
      </w:r>
      <w:r w:rsidRPr="0039397D" w:rsidR="00002C17">
        <w:rPr>
          <w:rFonts w:cs="Arial"/>
        </w:rPr>
        <w:t xml:space="preserve"> The resident is expected to carry out the following, at a minimum, in order to satisfactorily complete the residency.</w:t>
      </w:r>
    </w:p>
    <w:p w:rsidRPr="00255783" w:rsidR="00293602" w:rsidP="00FB4F8C" w:rsidRDefault="00293602" w14:paraId="2A2FE5A7" w14:textId="77777777">
      <w:pPr>
        <w:spacing w:after="0"/>
        <w:outlineLvl w:val="0"/>
        <w:rPr>
          <w:rFonts w:cs="Arial"/>
          <w:b/>
          <w:sz w:val="12"/>
          <w:szCs w:val="12"/>
        </w:rPr>
      </w:pPr>
    </w:p>
    <w:p w:rsidRPr="00A6753E" w:rsidR="00A6753E" w:rsidP="00F82DCD" w:rsidRDefault="00A6753E" w14:paraId="3E311955" w14:textId="77777777">
      <w:pPr>
        <w:spacing w:after="60"/>
        <w:outlineLvl w:val="0"/>
        <w:rPr>
          <w:rFonts w:cs="Arial"/>
        </w:rPr>
      </w:pPr>
      <w:r w:rsidRPr="00B36BD6">
        <w:rPr>
          <w:rFonts w:cs="Arial"/>
          <w:b/>
        </w:rPr>
        <w:t>Professional Involvement</w:t>
      </w:r>
    </w:p>
    <w:p w:rsidR="00DC4AAE" w:rsidP="00A6753E" w:rsidRDefault="00A6753E" w14:paraId="7CA5AD83" w14:textId="77777777">
      <w:pPr>
        <w:spacing w:after="60"/>
        <w:rPr>
          <w:rFonts w:cs="Arial"/>
        </w:rPr>
      </w:pPr>
      <w:r>
        <w:rPr>
          <w:rFonts w:cs="Arial"/>
        </w:rPr>
        <w:t>Active</w:t>
      </w:r>
      <w:r w:rsidRPr="00A6753E" w:rsidR="00E66D02">
        <w:rPr>
          <w:rFonts w:cs="Arial"/>
        </w:rPr>
        <w:t xml:space="preserve"> membership in the American Society of Health-System Pharmacists (ASHP) and the Oregon Society of Health-Sys</w:t>
      </w:r>
      <w:r>
        <w:rPr>
          <w:rFonts w:cs="Arial"/>
        </w:rPr>
        <w:t>tem Pharmacists (OSHP) is encouraged and supported.</w:t>
      </w:r>
    </w:p>
    <w:p w:rsidRPr="00255783" w:rsidR="00BE552F" w:rsidP="00A6753E" w:rsidRDefault="00BE552F" w14:paraId="7AFE8069" w14:textId="77777777">
      <w:pPr>
        <w:spacing w:after="60"/>
        <w:rPr>
          <w:rFonts w:cs="Arial"/>
          <w:sz w:val="12"/>
          <w:szCs w:val="12"/>
        </w:rPr>
      </w:pPr>
    </w:p>
    <w:p w:rsidRPr="00B36BD6" w:rsidR="00E66D02" w:rsidP="00F82DCD" w:rsidRDefault="00FB4F8C" w14:paraId="109125DF" w14:textId="77777777">
      <w:pPr>
        <w:spacing w:after="60"/>
        <w:outlineLvl w:val="0"/>
        <w:rPr>
          <w:rFonts w:cs="Arial"/>
          <w:b/>
        </w:rPr>
      </w:pPr>
      <w:r>
        <w:rPr>
          <w:rFonts w:cs="Arial"/>
          <w:b/>
        </w:rPr>
        <w:t>Portfolio</w:t>
      </w:r>
    </w:p>
    <w:p w:rsidR="00BE552F" w:rsidP="00F82DCD" w:rsidRDefault="00002C17" w14:paraId="1A506C6D" w14:textId="4BCA34EE">
      <w:pPr>
        <w:spacing w:after="60"/>
        <w:rPr>
          <w:rFonts w:cs="Arial"/>
        </w:rPr>
      </w:pPr>
      <w:r w:rsidRPr="0039397D">
        <w:rPr>
          <w:rFonts w:cs="Arial"/>
        </w:rPr>
        <w:t>Maintain</w:t>
      </w:r>
      <w:r w:rsidRPr="0039397D" w:rsidR="0023076C">
        <w:rPr>
          <w:rFonts w:cs="Arial"/>
        </w:rPr>
        <w:t xml:space="preserve"> and complete a</w:t>
      </w:r>
      <w:r w:rsidR="00FB4F8C">
        <w:rPr>
          <w:rFonts w:cs="Arial"/>
        </w:rPr>
        <w:t>n electronic</w:t>
      </w:r>
      <w:r w:rsidRPr="0039397D" w:rsidR="0023076C">
        <w:rPr>
          <w:rFonts w:cs="Arial"/>
        </w:rPr>
        <w:t xml:space="preserve"> residency </w:t>
      </w:r>
      <w:r w:rsidR="00FB4F8C">
        <w:rPr>
          <w:rFonts w:cs="Arial"/>
        </w:rPr>
        <w:t xml:space="preserve">portfolio </w:t>
      </w:r>
      <w:r w:rsidRPr="0039397D" w:rsidR="0023076C">
        <w:rPr>
          <w:rFonts w:cs="Arial"/>
        </w:rPr>
        <w:t>containing at a minimum copies of all presentations, projects, pertinent clinical work, administrative tasks, etc.</w:t>
      </w:r>
      <w:r w:rsidR="0047319D">
        <w:rPr>
          <w:rFonts w:cs="Arial"/>
        </w:rPr>
        <w:t xml:space="preserve"> This portfolio</w:t>
      </w:r>
      <w:r w:rsidR="007813D9">
        <w:rPr>
          <w:rFonts w:cs="Arial"/>
        </w:rPr>
        <w:t xml:space="preserve"> stored on Sharepoint</w:t>
      </w:r>
      <w:r w:rsidR="0047319D">
        <w:rPr>
          <w:rFonts w:cs="Arial"/>
        </w:rPr>
        <w:t xml:space="preserve"> will be complementary to inf</w:t>
      </w:r>
      <w:r w:rsidR="0054235B">
        <w:rPr>
          <w:rFonts w:cs="Arial"/>
        </w:rPr>
        <w:t>ormation contained within PharmA</w:t>
      </w:r>
      <w:r w:rsidR="0047319D">
        <w:rPr>
          <w:rFonts w:cs="Arial"/>
        </w:rPr>
        <w:t>cademic which will capture all evaluations as well as additional documentation of feedback provided to the resident.</w:t>
      </w:r>
    </w:p>
    <w:p w:rsidRPr="00B36BD6" w:rsidR="00E66D02" w:rsidP="00F82DCD" w:rsidRDefault="00E66D02" w14:paraId="1A5C5E67" w14:textId="77777777">
      <w:pPr>
        <w:spacing w:after="60"/>
        <w:outlineLvl w:val="0"/>
        <w:rPr>
          <w:rFonts w:cs="Arial"/>
          <w:b/>
        </w:rPr>
      </w:pPr>
      <w:r w:rsidRPr="00CA0D9C">
        <w:rPr>
          <w:rFonts w:cs="Arial"/>
          <w:b/>
        </w:rPr>
        <w:t>Staffing</w:t>
      </w:r>
    </w:p>
    <w:p w:rsidR="00F279EF" w:rsidP="00CB5E0B" w:rsidRDefault="00FB4F8C" w14:paraId="649E4FDC" w14:textId="7A48578A">
      <w:pPr>
        <w:spacing w:after="0"/>
        <w:rPr>
          <w:rFonts w:cs="Arial"/>
        </w:rPr>
      </w:pPr>
      <w:r>
        <w:rPr>
          <w:rFonts w:cs="Arial"/>
        </w:rPr>
        <w:t>T</w:t>
      </w:r>
      <w:r w:rsidRPr="0039397D" w:rsidR="00E66D02">
        <w:rPr>
          <w:rFonts w:cs="Arial"/>
        </w:rPr>
        <w:t xml:space="preserve">he resident </w:t>
      </w:r>
      <w:r>
        <w:rPr>
          <w:rFonts w:cs="Arial"/>
        </w:rPr>
        <w:t>will be assigned to a consult shift one half-day per week for the duration of their residency year.  Additionally, t</w:t>
      </w:r>
      <w:r w:rsidR="00D2689E">
        <w:rPr>
          <w:rFonts w:cs="Arial"/>
        </w:rPr>
        <w:t xml:space="preserve">he resident will </w:t>
      </w:r>
      <w:r w:rsidR="007B06B9">
        <w:rPr>
          <w:rFonts w:cs="Arial"/>
        </w:rPr>
        <w:t>be on-call</w:t>
      </w:r>
      <w:r w:rsidR="004472CE">
        <w:rPr>
          <w:rFonts w:cs="Arial"/>
        </w:rPr>
        <w:t xml:space="preserve"> </w:t>
      </w:r>
      <w:r w:rsidR="00117FC4">
        <w:rPr>
          <w:rFonts w:cs="Arial"/>
        </w:rPr>
        <w:t>for 1 week each month.</w:t>
      </w:r>
      <w:r w:rsidRPr="0039397D" w:rsidR="00E66D02">
        <w:rPr>
          <w:rFonts w:cs="Arial"/>
        </w:rPr>
        <w:t xml:space="preserve"> </w:t>
      </w:r>
      <w:r>
        <w:rPr>
          <w:rFonts w:cs="Arial"/>
        </w:rPr>
        <w:t>T</w:t>
      </w:r>
      <w:r w:rsidRPr="0039397D" w:rsidR="00E66D02">
        <w:rPr>
          <w:rFonts w:cs="Arial"/>
        </w:rPr>
        <w:t>he resident is expected to spen</w:t>
      </w:r>
      <w:r w:rsidRPr="0039397D" w:rsidR="00F279EF">
        <w:rPr>
          <w:rFonts w:cs="Arial"/>
        </w:rPr>
        <w:t>d</w:t>
      </w:r>
      <w:r w:rsidRPr="0039397D" w:rsidR="00E66D02">
        <w:rPr>
          <w:rFonts w:cs="Arial"/>
        </w:rPr>
        <w:t xml:space="preserve"> time outside of</w:t>
      </w:r>
      <w:r w:rsidRPr="0039397D" w:rsidR="00152329">
        <w:rPr>
          <w:rFonts w:cs="Arial"/>
        </w:rPr>
        <w:t xml:space="preserve"> the residency week working to e</w:t>
      </w:r>
      <w:r w:rsidRPr="0039397D" w:rsidR="00E66D02">
        <w:rPr>
          <w:rFonts w:cs="Arial"/>
        </w:rPr>
        <w:t>nsure timely and quality completion of assignments.</w:t>
      </w:r>
      <w:r w:rsidR="00A6753E">
        <w:rPr>
          <w:rFonts w:cs="Arial"/>
        </w:rPr>
        <w:t xml:space="preserve"> Working outside the residency program (moonlighting) is strongly discouraged. Moonlighting time must be approved </w:t>
      </w:r>
      <w:r w:rsidR="006B6376">
        <w:rPr>
          <w:rFonts w:cs="Arial"/>
        </w:rPr>
        <w:t>by the RPD</w:t>
      </w:r>
      <w:r w:rsidR="007C326E">
        <w:rPr>
          <w:rFonts w:cs="Arial"/>
        </w:rPr>
        <w:t>/RPC</w:t>
      </w:r>
      <w:r w:rsidR="006B6376">
        <w:rPr>
          <w:rFonts w:cs="Arial"/>
        </w:rPr>
        <w:t xml:space="preserve"> and hours worked must be reported on a monthly basis. The A</w:t>
      </w:r>
      <w:r w:rsidR="00583FC8">
        <w:rPr>
          <w:rFonts w:cs="Arial"/>
        </w:rPr>
        <w:t>SHP</w:t>
      </w:r>
      <w:r w:rsidR="006B6376">
        <w:rPr>
          <w:rFonts w:cs="Arial"/>
        </w:rPr>
        <w:t xml:space="preserve"> </w:t>
      </w:r>
      <w:r w:rsidR="007813D9">
        <w:rPr>
          <w:rFonts w:cs="Arial"/>
        </w:rPr>
        <w:t>D</w:t>
      </w:r>
      <w:r w:rsidR="006B6376">
        <w:rPr>
          <w:rFonts w:cs="Arial"/>
        </w:rPr>
        <w:t xml:space="preserve">uty </w:t>
      </w:r>
      <w:r w:rsidR="007813D9">
        <w:rPr>
          <w:rFonts w:cs="Arial"/>
        </w:rPr>
        <w:t>H</w:t>
      </w:r>
      <w:r w:rsidR="006B6376">
        <w:rPr>
          <w:rFonts w:cs="Arial"/>
        </w:rPr>
        <w:t xml:space="preserve">our </w:t>
      </w:r>
      <w:r w:rsidR="007813D9">
        <w:rPr>
          <w:rFonts w:cs="Arial"/>
        </w:rPr>
        <w:t xml:space="preserve">Policy </w:t>
      </w:r>
      <w:r w:rsidR="006B6376">
        <w:rPr>
          <w:rFonts w:cs="Arial"/>
        </w:rPr>
        <w:t xml:space="preserve">requirements are to be followed at all times. </w:t>
      </w:r>
    </w:p>
    <w:p w:rsidRPr="00255783" w:rsidR="002E350B" w:rsidP="00890196" w:rsidRDefault="002E350B" w14:paraId="7C62AADD" w14:textId="77777777">
      <w:pPr>
        <w:spacing w:after="60"/>
        <w:outlineLvl w:val="0"/>
        <w:rPr>
          <w:rFonts w:cs="Arial"/>
          <w:b/>
          <w:sz w:val="12"/>
          <w:szCs w:val="12"/>
        </w:rPr>
      </w:pPr>
    </w:p>
    <w:p w:rsidR="00890196" w:rsidP="00890196" w:rsidRDefault="00890196" w14:paraId="1D5C5182" w14:textId="77777777">
      <w:pPr>
        <w:spacing w:after="60"/>
        <w:outlineLvl w:val="0"/>
        <w:rPr>
          <w:rFonts w:cs="Arial"/>
          <w:b/>
        </w:rPr>
      </w:pPr>
      <w:r>
        <w:rPr>
          <w:rFonts w:cs="Arial"/>
          <w:b/>
        </w:rPr>
        <w:t>Holiday Coverage</w:t>
      </w:r>
    </w:p>
    <w:p w:rsidR="00890196" w:rsidP="00890196" w:rsidRDefault="00524049" w14:paraId="79AFB2ED" w14:textId="2C01860E">
      <w:pPr>
        <w:spacing w:after="60"/>
      </w:pPr>
      <w:r>
        <w:t xml:space="preserve">Each resident will </w:t>
      </w:r>
      <w:r w:rsidR="004472CE">
        <w:t>be assigned to work the days surrounding one major and one minor holiday</w:t>
      </w:r>
      <w:r w:rsidR="00630063">
        <w:t>.</w:t>
      </w:r>
      <w:r w:rsidR="004472CE">
        <w:t xml:space="preserve"> The primary care clinics are closed for </w:t>
      </w:r>
      <w:r w:rsidR="008D2EF4">
        <w:t xml:space="preserve">these </w:t>
      </w:r>
      <w:r w:rsidR="778331E3">
        <w:t xml:space="preserve">7 </w:t>
      </w:r>
      <w:r w:rsidR="004472CE">
        <w:t>holidays.</w:t>
      </w:r>
      <w:r w:rsidR="00630063">
        <w:t xml:space="preserve"> The resident will be expected to</w:t>
      </w:r>
      <w:r w:rsidR="00890196">
        <w:t xml:space="preserve"> work</w:t>
      </w:r>
      <w:r w:rsidR="00630063">
        <w:t xml:space="preserve"> </w:t>
      </w:r>
      <w:r w:rsidR="004472CE">
        <w:t xml:space="preserve">some of </w:t>
      </w:r>
      <w:r w:rsidR="00630063">
        <w:t>the</w:t>
      </w:r>
      <w:r w:rsidR="00890196">
        <w:t xml:space="preserve"> days surrounding </w:t>
      </w:r>
      <w:r>
        <w:t xml:space="preserve">(usually </w:t>
      </w:r>
      <w:r w:rsidR="00630063">
        <w:t xml:space="preserve">the </w:t>
      </w:r>
      <w:r>
        <w:t xml:space="preserve">day before and </w:t>
      </w:r>
      <w:r w:rsidR="00630063">
        <w:t xml:space="preserve">the </w:t>
      </w:r>
      <w:r>
        <w:t xml:space="preserve">day after; subject to change) </w:t>
      </w:r>
      <w:r w:rsidR="00890196">
        <w:t>one holiday from each group below, and at least one residen</w:t>
      </w:r>
      <w:r w:rsidR="00C11A3F">
        <w:t>t will</w:t>
      </w:r>
      <w:r w:rsidR="00890196">
        <w:t xml:space="preserve"> </w:t>
      </w:r>
      <w:r w:rsidR="00C11A3F">
        <w:t xml:space="preserve">be assigned to </w:t>
      </w:r>
      <w:r w:rsidR="00890196">
        <w:t xml:space="preserve">each holiday. </w:t>
      </w:r>
      <w:r w:rsidR="00630063">
        <w:t>The r</w:t>
      </w:r>
      <w:r w:rsidR="004472CE">
        <w:t xml:space="preserve">esident may </w:t>
      </w:r>
      <w:r w:rsidR="00890196">
        <w:t xml:space="preserve">also </w:t>
      </w:r>
      <w:r w:rsidR="00623FD5">
        <w:t>be on-call</w:t>
      </w:r>
      <w:r w:rsidR="00890196">
        <w:t xml:space="preserve"> during the week on which the holiday falls. </w:t>
      </w:r>
      <w:r w:rsidR="004472CE">
        <w:t>The resident may also be assigned to a consult shift around the holidays dependent on need.</w:t>
      </w:r>
    </w:p>
    <w:p w:rsidRPr="00255783" w:rsidR="004472CE" w:rsidP="00890196" w:rsidRDefault="004472CE" w14:paraId="7A733599" w14:textId="77777777">
      <w:pPr>
        <w:spacing w:after="60"/>
        <w:rPr>
          <w:sz w:val="12"/>
          <w:szCs w:val="12"/>
        </w:rPr>
      </w:pPr>
    </w:p>
    <w:p w:rsidRPr="00890196" w:rsidR="00890196" w:rsidP="00524049" w:rsidRDefault="00524049" w14:paraId="647031F8" w14:textId="77777777">
      <w:pPr>
        <w:spacing w:after="60"/>
        <w:ind w:left="720"/>
      </w:pPr>
      <w:r w:rsidRPr="00524049">
        <w:rPr>
          <w:b/>
        </w:rPr>
        <w:t>Major holidays:</w:t>
      </w:r>
      <w:r w:rsidR="00524B21">
        <w:t xml:space="preserve"> Thanksgiving, Christmas, New Year’s</w:t>
      </w:r>
    </w:p>
    <w:p w:rsidR="00890196" w:rsidP="00CB5E0B" w:rsidRDefault="00524049" w14:paraId="3F39EB4F" w14:textId="32E6F984">
      <w:pPr>
        <w:spacing w:after="0"/>
        <w:ind w:left="720"/>
      </w:pPr>
      <w:r w:rsidRPr="63816CB0">
        <w:rPr>
          <w:b/>
          <w:bCs/>
        </w:rPr>
        <w:t>Minor holidays</w:t>
      </w:r>
      <w:r w:rsidRPr="63816CB0" w:rsidR="00890196">
        <w:rPr>
          <w:b/>
          <w:bCs/>
        </w:rPr>
        <w:t>:</w:t>
      </w:r>
      <w:r w:rsidR="00890196">
        <w:t xml:space="preserve"> </w:t>
      </w:r>
      <w:r w:rsidR="4EA0145E">
        <w:t xml:space="preserve">MLK Day, </w:t>
      </w:r>
      <w:r w:rsidR="00890196">
        <w:t xml:space="preserve">Memorial </w:t>
      </w:r>
      <w:r w:rsidR="00524B21">
        <w:t>Day, Labor Day, 4</w:t>
      </w:r>
      <w:r w:rsidRPr="63816CB0" w:rsidR="00524B21">
        <w:rPr>
          <w:vertAlign w:val="superscript"/>
        </w:rPr>
        <w:t>th</w:t>
      </w:r>
      <w:r w:rsidR="00524B21">
        <w:t xml:space="preserve"> of July</w:t>
      </w:r>
    </w:p>
    <w:p w:rsidRPr="00255783" w:rsidR="002E350B" w:rsidP="00524049" w:rsidRDefault="002E350B" w14:paraId="45908397" w14:textId="77777777">
      <w:pPr>
        <w:spacing w:after="60"/>
        <w:ind w:left="720"/>
        <w:rPr>
          <w:sz w:val="12"/>
          <w:szCs w:val="12"/>
        </w:rPr>
      </w:pPr>
    </w:p>
    <w:p w:rsidRPr="00B36BD6" w:rsidR="00E66D02" w:rsidP="00CB5E0B" w:rsidRDefault="00E66D02" w14:paraId="579CA50A" w14:textId="77777777">
      <w:pPr>
        <w:spacing w:after="60"/>
        <w:outlineLvl w:val="0"/>
        <w:rPr>
          <w:rFonts w:cs="Arial"/>
          <w:b/>
        </w:rPr>
      </w:pPr>
      <w:r w:rsidRPr="00B36BD6">
        <w:rPr>
          <w:rFonts w:cs="Arial"/>
          <w:b/>
        </w:rPr>
        <w:t>Residency Project</w:t>
      </w:r>
    </w:p>
    <w:p w:rsidR="00034E54" w:rsidP="00CB5E0B" w:rsidRDefault="008E4823" w14:paraId="2F744FA5" w14:textId="694A9B07">
      <w:pPr>
        <w:spacing w:after="0"/>
        <w:rPr>
          <w:rFonts w:cs="Arial"/>
        </w:rPr>
      </w:pPr>
      <w:r w:rsidRPr="0039397D">
        <w:rPr>
          <w:rFonts w:cs="Arial"/>
        </w:rPr>
        <w:t>The resident will select and complete a residency project that compliments departmental and/or organizational objective</w:t>
      </w:r>
      <w:r w:rsidR="00DC4AAE">
        <w:rPr>
          <w:rFonts w:cs="Arial"/>
        </w:rPr>
        <w:t>s and satisfies the goals and objectives of the accreditation standard</w:t>
      </w:r>
      <w:r w:rsidR="00117FC4">
        <w:rPr>
          <w:rFonts w:cs="Arial"/>
        </w:rPr>
        <w:t>.</w:t>
      </w:r>
      <w:r w:rsidRPr="0039397D">
        <w:rPr>
          <w:rFonts w:cs="Arial"/>
        </w:rPr>
        <w:t xml:space="preserve"> The project must be written up in manuscript form prior to completion of the residency year.</w:t>
      </w:r>
      <w:r w:rsidRPr="0039397D" w:rsidR="00B36FCA">
        <w:rPr>
          <w:rFonts w:cs="Arial"/>
        </w:rPr>
        <w:t xml:space="preserve"> The resident is encouraged to submit the manuscript to a peer-reviewed biomedical journal for publication.</w:t>
      </w:r>
    </w:p>
    <w:p w:rsidRPr="00255783" w:rsidR="00E82A3B" w:rsidP="00F82DCD" w:rsidRDefault="00E82A3B" w14:paraId="1C202CB5" w14:textId="77777777">
      <w:pPr>
        <w:spacing w:after="60"/>
        <w:rPr>
          <w:rFonts w:cs="Arial"/>
          <w:sz w:val="12"/>
          <w:szCs w:val="12"/>
        </w:rPr>
      </w:pPr>
    </w:p>
    <w:p w:rsidRPr="00B36BD6" w:rsidR="008E4823" w:rsidP="00F82DCD" w:rsidRDefault="008E4823" w14:paraId="195FE556" w14:textId="77777777">
      <w:pPr>
        <w:spacing w:after="60"/>
        <w:outlineLvl w:val="0"/>
        <w:rPr>
          <w:rFonts w:cs="Arial"/>
          <w:b/>
        </w:rPr>
      </w:pPr>
      <w:r w:rsidRPr="00B36BD6">
        <w:rPr>
          <w:rFonts w:cs="Arial"/>
          <w:b/>
        </w:rPr>
        <w:t>Provider Education</w:t>
      </w:r>
    </w:p>
    <w:p w:rsidRPr="0039397D" w:rsidR="008E4823" w:rsidP="00F82DCD" w:rsidRDefault="008E4823" w14:paraId="0EEDD5F5" w14:textId="44533DF2">
      <w:pPr>
        <w:spacing w:after="60"/>
        <w:rPr>
          <w:rFonts w:cs="Arial"/>
        </w:rPr>
      </w:pPr>
      <w:r w:rsidRPr="0039397D">
        <w:rPr>
          <w:rFonts w:cs="Arial"/>
        </w:rPr>
        <w:t>Education is an essential function of the ambulatory care specialist. The resident will be expected to provide provider education in a variety of formats, which include, but are not limited to:</w:t>
      </w:r>
    </w:p>
    <w:p w:rsidRPr="0039397D" w:rsidR="008E4823" w:rsidP="00F82DCD" w:rsidRDefault="008E4823" w14:paraId="5535D6F1" w14:textId="77777777">
      <w:pPr>
        <w:pStyle w:val="ListParagraph"/>
        <w:numPr>
          <w:ilvl w:val="0"/>
          <w:numId w:val="14"/>
        </w:numPr>
        <w:spacing w:after="60"/>
        <w:rPr>
          <w:rFonts w:cs="Arial"/>
        </w:rPr>
      </w:pPr>
      <w:r w:rsidRPr="0039397D">
        <w:rPr>
          <w:rFonts w:cs="Arial"/>
        </w:rPr>
        <w:t>Completion of a written ‘Question of the Quarter’ that is ready for publication</w:t>
      </w:r>
    </w:p>
    <w:p w:rsidRPr="0039397D" w:rsidR="008E4823" w:rsidP="00F82DCD" w:rsidRDefault="008E4823" w14:paraId="0D83CB92" w14:textId="77777777">
      <w:pPr>
        <w:pStyle w:val="ListParagraph"/>
        <w:numPr>
          <w:ilvl w:val="0"/>
          <w:numId w:val="14"/>
        </w:numPr>
        <w:spacing w:after="60"/>
        <w:rPr>
          <w:rFonts w:cs="Arial"/>
        </w:rPr>
      </w:pPr>
      <w:r w:rsidRPr="0039397D">
        <w:rPr>
          <w:rFonts w:cs="Arial"/>
        </w:rPr>
        <w:t>Completion of one ‘Hot Topics’ publication</w:t>
      </w:r>
    </w:p>
    <w:p w:rsidRPr="0039397D" w:rsidR="008E4823" w:rsidP="00F82DCD" w:rsidRDefault="008E4823" w14:paraId="142568B9" w14:textId="77777777">
      <w:pPr>
        <w:pStyle w:val="ListParagraph"/>
        <w:numPr>
          <w:ilvl w:val="0"/>
          <w:numId w:val="14"/>
        </w:numPr>
        <w:spacing w:after="60"/>
        <w:rPr>
          <w:rFonts w:cs="Arial"/>
        </w:rPr>
      </w:pPr>
      <w:r w:rsidRPr="0039397D">
        <w:rPr>
          <w:rFonts w:cs="Arial"/>
        </w:rPr>
        <w:t>Completion of one ‘Vax Facts’ publication</w:t>
      </w:r>
    </w:p>
    <w:p w:rsidRPr="0039397D" w:rsidR="00152329" w:rsidP="00F82DCD" w:rsidRDefault="00152329" w14:paraId="7A2F3C06" w14:textId="77EBB117">
      <w:pPr>
        <w:pStyle w:val="ListParagraph"/>
        <w:numPr>
          <w:ilvl w:val="0"/>
          <w:numId w:val="14"/>
        </w:numPr>
        <w:spacing w:after="60"/>
        <w:rPr>
          <w:rFonts w:cs="Arial"/>
        </w:rPr>
      </w:pPr>
      <w:r w:rsidRPr="06D49E21">
        <w:rPr>
          <w:rFonts w:cs="Arial"/>
        </w:rPr>
        <w:t xml:space="preserve">Presentation of a </w:t>
      </w:r>
      <w:r w:rsidRPr="06D49E21" w:rsidR="00A15401">
        <w:rPr>
          <w:rFonts w:cs="Arial"/>
        </w:rPr>
        <w:t>two</w:t>
      </w:r>
      <w:r w:rsidRPr="06D49E21">
        <w:rPr>
          <w:rFonts w:cs="Arial"/>
        </w:rPr>
        <w:t>-hour continuing education</w:t>
      </w:r>
      <w:r w:rsidRPr="06D49E21" w:rsidR="00460D68">
        <w:rPr>
          <w:rFonts w:cs="Arial"/>
        </w:rPr>
        <w:t xml:space="preserve"> (CE)</w:t>
      </w:r>
      <w:r w:rsidRPr="06D49E21">
        <w:rPr>
          <w:rFonts w:cs="Arial"/>
        </w:rPr>
        <w:t xml:space="preserve"> seminar</w:t>
      </w:r>
    </w:p>
    <w:p w:rsidRPr="0039397D" w:rsidR="00101EB6" w:rsidP="00F82DCD" w:rsidRDefault="00524B21" w14:paraId="011EA294" w14:textId="77777777">
      <w:pPr>
        <w:pStyle w:val="ListParagraph"/>
        <w:numPr>
          <w:ilvl w:val="0"/>
          <w:numId w:val="14"/>
        </w:numPr>
        <w:spacing w:after="60"/>
        <w:rPr>
          <w:rFonts w:cs="Arial"/>
        </w:rPr>
      </w:pPr>
      <w:r>
        <w:rPr>
          <w:rFonts w:cs="Arial"/>
        </w:rPr>
        <w:t>Drug safety alert</w:t>
      </w:r>
      <w:r w:rsidRPr="0039397D" w:rsidR="00101EB6">
        <w:rPr>
          <w:rFonts w:cs="Arial"/>
        </w:rPr>
        <w:t xml:space="preserve"> communications</w:t>
      </w:r>
    </w:p>
    <w:p w:rsidR="008E4823" w:rsidP="00F82DCD" w:rsidRDefault="008E4823" w14:paraId="0F4FA691" w14:textId="77777777">
      <w:pPr>
        <w:pStyle w:val="ListParagraph"/>
        <w:numPr>
          <w:ilvl w:val="0"/>
          <w:numId w:val="14"/>
        </w:numPr>
        <w:spacing w:after="60"/>
        <w:rPr>
          <w:rFonts w:cs="Arial"/>
        </w:rPr>
      </w:pPr>
      <w:r w:rsidRPr="0039397D">
        <w:rPr>
          <w:rFonts w:cs="Arial"/>
        </w:rPr>
        <w:t>Education</w:t>
      </w:r>
      <w:r w:rsidRPr="0039397D" w:rsidR="00F279EF">
        <w:rPr>
          <w:rFonts w:cs="Arial"/>
        </w:rPr>
        <w:t>al presentations</w:t>
      </w:r>
      <w:r w:rsidRPr="0039397D">
        <w:rPr>
          <w:rFonts w:cs="Arial"/>
        </w:rPr>
        <w:t xml:space="preserve"> at clinic </w:t>
      </w:r>
      <w:r w:rsidRPr="0039397D" w:rsidR="00F279EF">
        <w:rPr>
          <w:rFonts w:cs="Arial"/>
        </w:rPr>
        <w:t xml:space="preserve">meetings </w:t>
      </w:r>
    </w:p>
    <w:p w:rsidRPr="00255783" w:rsidR="00BE552F" w:rsidP="00E17C48" w:rsidRDefault="00BE552F" w14:paraId="7DB5AEE3" w14:textId="77777777">
      <w:pPr>
        <w:pStyle w:val="ListParagraph"/>
        <w:spacing w:after="60"/>
        <w:rPr>
          <w:rFonts w:cs="Arial"/>
          <w:sz w:val="12"/>
          <w:szCs w:val="12"/>
        </w:rPr>
      </w:pPr>
    </w:p>
    <w:p w:rsidRPr="00B36BD6" w:rsidR="00002C17" w:rsidP="00F82DCD" w:rsidRDefault="00002C17" w14:paraId="3E03383C" w14:textId="77777777">
      <w:pPr>
        <w:spacing w:after="60"/>
        <w:outlineLvl w:val="0"/>
        <w:rPr>
          <w:rFonts w:cs="Arial"/>
          <w:b/>
        </w:rPr>
      </w:pPr>
      <w:r w:rsidRPr="00B36BD6">
        <w:rPr>
          <w:rFonts w:cs="Arial"/>
          <w:b/>
        </w:rPr>
        <w:t>Knowledge base</w:t>
      </w:r>
    </w:p>
    <w:p w:rsidRPr="0039397D" w:rsidR="00F279EF" w:rsidP="00F82DCD" w:rsidRDefault="00F279EF" w14:paraId="1C91181C" w14:textId="69903B0E">
      <w:pPr>
        <w:spacing w:after="60"/>
        <w:rPr>
          <w:rFonts w:cs="Arial"/>
          <w:b/>
        </w:rPr>
      </w:pPr>
      <w:r w:rsidRPr="0039397D">
        <w:rPr>
          <w:rFonts w:cs="Arial"/>
        </w:rPr>
        <w:t>Mastery of the primary care literature is essential for t</w:t>
      </w:r>
      <w:r w:rsidR="00117FC4">
        <w:rPr>
          <w:rFonts w:cs="Arial"/>
        </w:rPr>
        <w:t xml:space="preserve">he ambulatory care specialist. </w:t>
      </w:r>
      <w:r w:rsidRPr="0039397D">
        <w:rPr>
          <w:rFonts w:cs="Arial"/>
        </w:rPr>
        <w:t>The resident will demonstrate their primary care knowledge through the following:</w:t>
      </w:r>
    </w:p>
    <w:p w:rsidRPr="0039397D" w:rsidR="00F279EF" w:rsidP="00F82DCD" w:rsidRDefault="00623FD5" w14:paraId="0556BA80" w14:textId="4A393782">
      <w:pPr>
        <w:pStyle w:val="ListParagraph"/>
        <w:numPr>
          <w:ilvl w:val="0"/>
          <w:numId w:val="5"/>
        </w:numPr>
        <w:spacing w:after="60"/>
        <w:rPr>
          <w:rFonts w:cs="Arial"/>
          <w:b/>
        </w:rPr>
      </w:pPr>
      <w:r>
        <w:rPr>
          <w:rFonts w:cs="Arial"/>
        </w:rPr>
        <w:t>APSO/</w:t>
      </w:r>
      <w:r w:rsidRPr="0039397D" w:rsidR="00F279EF">
        <w:rPr>
          <w:rFonts w:cs="Arial"/>
        </w:rPr>
        <w:t>SOAP notes and clinical consults</w:t>
      </w:r>
    </w:p>
    <w:p w:rsidRPr="0039397D" w:rsidR="00F279EF" w:rsidP="00F82DCD" w:rsidRDefault="00F279EF" w14:paraId="6B3D692F" w14:textId="77777777">
      <w:pPr>
        <w:pStyle w:val="ListParagraph"/>
        <w:numPr>
          <w:ilvl w:val="0"/>
          <w:numId w:val="5"/>
        </w:numPr>
        <w:spacing w:after="60"/>
        <w:rPr>
          <w:rFonts w:cs="Arial"/>
          <w:b/>
        </w:rPr>
      </w:pPr>
      <w:r w:rsidRPr="0039397D">
        <w:rPr>
          <w:rFonts w:cs="Arial"/>
        </w:rPr>
        <w:t>Verbal discussions with preceptors</w:t>
      </w:r>
    </w:p>
    <w:p w:rsidRPr="00E17C48" w:rsidR="00293602" w:rsidP="00293602" w:rsidRDefault="00E17C48" w14:paraId="2DF9221E" w14:textId="77777777">
      <w:pPr>
        <w:pStyle w:val="ListParagraph"/>
        <w:numPr>
          <w:ilvl w:val="0"/>
          <w:numId w:val="5"/>
        </w:numPr>
        <w:spacing w:after="60"/>
        <w:outlineLvl w:val="0"/>
        <w:rPr>
          <w:rFonts w:cs="Arial"/>
          <w:b/>
        </w:rPr>
      </w:pPr>
      <w:r>
        <w:rPr>
          <w:rFonts w:cs="Arial"/>
        </w:rPr>
        <w:t>Reviewing primary literature pertinent to conditions managed in primary care in preparation for ambulatory care rounds</w:t>
      </w:r>
    </w:p>
    <w:p w:rsidRPr="00E17C48" w:rsidR="00E17C48" w:rsidP="00293602" w:rsidRDefault="00E17C48" w14:paraId="499E9E0F" w14:textId="77777777">
      <w:pPr>
        <w:pStyle w:val="ListParagraph"/>
        <w:numPr>
          <w:ilvl w:val="0"/>
          <w:numId w:val="5"/>
        </w:numPr>
        <w:spacing w:after="60"/>
        <w:outlineLvl w:val="0"/>
        <w:rPr>
          <w:rFonts w:cs="Arial"/>
          <w:b/>
        </w:rPr>
      </w:pPr>
      <w:r>
        <w:rPr>
          <w:rFonts w:cs="Arial"/>
        </w:rPr>
        <w:t>Completion of internal literature evaluation course</w:t>
      </w:r>
    </w:p>
    <w:p w:rsidRPr="00BE552F" w:rsidR="00E17C48" w:rsidP="00255783" w:rsidRDefault="00E17C48" w14:paraId="65227206" w14:textId="77777777">
      <w:pPr>
        <w:pStyle w:val="ListParagraph"/>
        <w:numPr>
          <w:ilvl w:val="0"/>
          <w:numId w:val="5"/>
        </w:numPr>
        <w:spacing w:after="120"/>
        <w:outlineLvl w:val="0"/>
        <w:rPr>
          <w:rFonts w:cs="Arial"/>
          <w:b/>
        </w:rPr>
      </w:pPr>
      <w:r>
        <w:rPr>
          <w:rFonts w:cs="Arial"/>
        </w:rPr>
        <w:t>Successful completion of evidence-based medicine rotation requirements</w:t>
      </w:r>
    </w:p>
    <w:p w:rsidR="00516932" w:rsidP="00293602" w:rsidRDefault="00516932" w14:paraId="4475B157" w14:textId="77777777">
      <w:pPr>
        <w:spacing w:after="60"/>
        <w:outlineLvl w:val="0"/>
        <w:rPr>
          <w:rFonts w:cs="Arial"/>
          <w:b/>
        </w:rPr>
      </w:pPr>
    </w:p>
    <w:p w:rsidRPr="00293602" w:rsidR="00BB3DBC" w:rsidP="00293602" w:rsidRDefault="00BB3DBC" w14:paraId="616AE954" w14:textId="69550457">
      <w:pPr>
        <w:spacing w:after="60"/>
        <w:outlineLvl w:val="0"/>
        <w:rPr>
          <w:rFonts w:cs="Arial"/>
          <w:b/>
        </w:rPr>
      </w:pPr>
      <w:r w:rsidRPr="00293602">
        <w:rPr>
          <w:rFonts w:cs="Arial"/>
          <w:b/>
        </w:rPr>
        <w:t xml:space="preserve">Evaluations </w:t>
      </w:r>
    </w:p>
    <w:p w:rsidRPr="0039397D" w:rsidR="00175D30" w:rsidP="00F82DCD" w:rsidRDefault="00175D30" w14:paraId="5D861428" w14:textId="7D947A48">
      <w:pPr>
        <w:spacing w:after="60"/>
        <w:rPr>
          <w:rFonts w:cs="Arial"/>
          <w:b/>
        </w:rPr>
      </w:pPr>
      <w:r w:rsidRPr="0039397D">
        <w:rPr>
          <w:rFonts w:cs="Arial"/>
        </w:rPr>
        <w:t>Completion of thorough and timely formative and criteria</w:t>
      </w:r>
      <w:r w:rsidR="00623FD5">
        <w:rPr>
          <w:rFonts w:cs="Arial"/>
        </w:rPr>
        <w:t>-</w:t>
      </w:r>
      <w:r w:rsidRPr="0039397D">
        <w:rPr>
          <w:rFonts w:cs="Arial"/>
        </w:rPr>
        <w:t>based evaluations are critical to monitoring the progress of the resident. Additionally, resident feedback in the form of preceptor and learning experience evaluations are crucial to ongoing pr</w:t>
      </w:r>
      <w:r w:rsidR="00117FC4">
        <w:rPr>
          <w:rFonts w:cs="Arial"/>
        </w:rPr>
        <w:t>ogram development and revision.</w:t>
      </w:r>
      <w:r w:rsidRPr="0039397D">
        <w:rPr>
          <w:rFonts w:cs="Arial"/>
        </w:rPr>
        <w:t xml:space="preserve"> Resident evaluation includes completion of the following:</w:t>
      </w:r>
    </w:p>
    <w:p w:rsidRPr="0039397D" w:rsidR="00BB3DBC" w:rsidP="00F82DCD" w:rsidRDefault="00175D30" w14:paraId="7BC017CC" w14:textId="1086C70D">
      <w:pPr>
        <w:pStyle w:val="ListParagraph"/>
        <w:numPr>
          <w:ilvl w:val="0"/>
          <w:numId w:val="5"/>
        </w:numPr>
        <w:spacing w:after="60"/>
        <w:rPr>
          <w:rFonts w:cs="Arial"/>
          <w:b/>
        </w:rPr>
      </w:pPr>
      <w:r w:rsidRPr="0039397D">
        <w:rPr>
          <w:rFonts w:cs="Arial"/>
        </w:rPr>
        <w:t>S</w:t>
      </w:r>
      <w:r w:rsidRPr="0039397D" w:rsidR="00BB3DBC">
        <w:rPr>
          <w:rFonts w:cs="Arial"/>
        </w:rPr>
        <w:t>elf-summative evaluations</w:t>
      </w:r>
      <w:r w:rsidRPr="0039397D" w:rsidR="00F279EF">
        <w:rPr>
          <w:rFonts w:cs="Arial"/>
        </w:rPr>
        <w:t>, learning experience evaluations, and preceptor evaluations</w:t>
      </w:r>
      <w:r w:rsidRPr="0039397D" w:rsidR="00BB3DBC">
        <w:rPr>
          <w:rFonts w:cs="Arial"/>
        </w:rPr>
        <w:t xml:space="preserve"> for each learning exp</w:t>
      </w:r>
      <w:r w:rsidR="00923AEA">
        <w:rPr>
          <w:rFonts w:cs="Arial"/>
        </w:rPr>
        <w:t>erience as assigned in PharmA</w:t>
      </w:r>
      <w:r w:rsidR="00F0640F">
        <w:rPr>
          <w:rFonts w:cs="Arial"/>
        </w:rPr>
        <w:t>cademic</w:t>
      </w:r>
    </w:p>
    <w:p w:rsidRPr="0039397D" w:rsidR="00BB3DBC" w:rsidP="00255783" w:rsidRDefault="00BB3DBC" w14:paraId="135DE213" w14:textId="773D94EA">
      <w:pPr>
        <w:pStyle w:val="ListParagraph"/>
        <w:numPr>
          <w:ilvl w:val="0"/>
          <w:numId w:val="5"/>
        </w:numPr>
        <w:spacing w:after="120"/>
        <w:rPr>
          <w:rFonts w:cs="Arial"/>
          <w:b/>
        </w:rPr>
      </w:pPr>
      <w:r w:rsidRPr="0039397D">
        <w:rPr>
          <w:rFonts w:cs="Arial"/>
        </w:rPr>
        <w:t>Development of a customized residency plan</w:t>
      </w:r>
      <w:r w:rsidR="0095323A">
        <w:rPr>
          <w:rFonts w:cs="Arial"/>
        </w:rPr>
        <w:t xml:space="preserve"> with quarterly tracking</w:t>
      </w:r>
    </w:p>
    <w:p w:rsidRPr="00B36BD6" w:rsidR="00617392" w:rsidP="00F82DCD" w:rsidRDefault="00BB3DBC" w14:paraId="70E8C9A3" w14:textId="77777777">
      <w:pPr>
        <w:spacing w:after="60"/>
        <w:outlineLvl w:val="0"/>
        <w:rPr>
          <w:rFonts w:cs="Arial"/>
          <w:b/>
        </w:rPr>
      </w:pPr>
      <w:r w:rsidRPr="00B36BD6">
        <w:rPr>
          <w:rFonts w:cs="Arial"/>
          <w:b/>
        </w:rPr>
        <w:t xml:space="preserve">Meetings </w:t>
      </w:r>
    </w:p>
    <w:p w:rsidRPr="0039397D" w:rsidR="00BB3DBC" w:rsidP="00F82DCD" w:rsidRDefault="00617392" w14:paraId="2D8C5BDD" w14:textId="54884B7A">
      <w:pPr>
        <w:spacing w:after="60"/>
        <w:rPr>
          <w:rFonts w:cs="Arial"/>
          <w:b/>
        </w:rPr>
      </w:pPr>
      <w:r w:rsidRPr="0039397D">
        <w:rPr>
          <w:rFonts w:cs="Arial"/>
        </w:rPr>
        <w:t xml:space="preserve">The </w:t>
      </w:r>
      <w:r w:rsidRPr="0039397D" w:rsidR="00BB3DBC">
        <w:rPr>
          <w:rFonts w:cs="Arial"/>
        </w:rPr>
        <w:t>resident will at</w:t>
      </w:r>
      <w:r w:rsidR="00117FC4">
        <w:rPr>
          <w:rFonts w:cs="Arial"/>
        </w:rPr>
        <w:t xml:space="preserve">tend all meetings as assigned. </w:t>
      </w:r>
      <w:r w:rsidRPr="0039397D" w:rsidR="00BB3DBC">
        <w:rPr>
          <w:rFonts w:cs="Arial"/>
        </w:rPr>
        <w:t>The resident will inform the appropriate preceptor of the need to attend meetings, and will make up any missed learning experience work. In general, direct patient care activities (clinic visits), take precedence over meeting attendance if there is a conflict.</w:t>
      </w:r>
    </w:p>
    <w:p w:rsidRPr="0039397D" w:rsidR="00BB3DBC" w:rsidP="00F82DCD" w:rsidRDefault="00C54EC9" w14:paraId="7CAD0B9E" w14:textId="77777777">
      <w:pPr>
        <w:pStyle w:val="ListParagraph"/>
        <w:numPr>
          <w:ilvl w:val="0"/>
          <w:numId w:val="5"/>
        </w:numPr>
        <w:spacing w:after="60"/>
        <w:rPr>
          <w:rFonts w:cs="Arial"/>
        </w:rPr>
      </w:pPr>
      <w:r>
        <w:rPr>
          <w:rFonts w:cs="Arial"/>
        </w:rPr>
        <w:t>Pharmacists Meeting</w:t>
      </w:r>
    </w:p>
    <w:p w:rsidRPr="0039397D" w:rsidR="00BB3DBC" w:rsidP="00F82DCD" w:rsidRDefault="00BB3DBC" w14:paraId="15A3A08A" w14:textId="77777777">
      <w:pPr>
        <w:pStyle w:val="ListParagraph"/>
        <w:numPr>
          <w:ilvl w:val="0"/>
          <w:numId w:val="5"/>
        </w:numPr>
        <w:spacing w:after="60"/>
        <w:rPr>
          <w:rFonts w:cs="Arial"/>
        </w:rPr>
      </w:pPr>
      <w:r w:rsidRPr="0039397D">
        <w:rPr>
          <w:rFonts w:cs="Arial"/>
        </w:rPr>
        <w:t xml:space="preserve">Pharmacists </w:t>
      </w:r>
      <w:r w:rsidR="003156D8">
        <w:rPr>
          <w:rFonts w:cs="Arial"/>
        </w:rPr>
        <w:t>Lunch and Learn</w:t>
      </w:r>
    </w:p>
    <w:p w:rsidR="00E66D02" w:rsidP="00F82DCD" w:rsidRDefault="00BB3DBC" w14:paraId="41529697" w14:textId="77777777">
      <w:pPr>
        <w:pStyle w:val="ListParagraph"/>
        <w:numPr>
          <w:ilvl w:val="0"/>
          <w:numId w:val="5"/>
        </w:numPr>
        <w:spacing w:after="60"/>
        <w:rPr>
          <w:rFonts w:cs="Arial"/>
        </w:rPr>
      </w:pPr>
      <w:r w:rsidRPr="0039397D">
        <w:rPr>
          <w:rFonts w:cs="Arial"/>
        </w:rPr>
        <w:t xml:space="preserve">PMG Pharmacy Committee (PMG PC): Quarterly, </w:t>
      </w:r>
      <w:r w:rsidR="00034E54">
        <w:rPr>
          <w:rFonts w:cs="Arial"/>
        </w:rPr>
        <w:t>dates TBD</w:t>
      </w:r>
    </w:p>
    <w:p w:rsidRPr="0039397D" w:rsidR="00617392" w:rsidP="00F82DCD" w:rsidRDefault="00617392" w14:paraId="1867EB23" w14:textId="77777777">
      <w:pPr>
        <w:pStyle w:val="ListParagraph"/>
        <w:numPr>
          <w:ilvl w:val="0"/>
          <w:numId w:val="5"/>
        </w:numPr>
        <w:spacing w:after="60"/>
        <w:rPr>
          <w:rFonts w:cs="Arial"/>
        </w:rPr>
      </w:pPr>
      <w:r w:rsidRPr="0039397D">
        <w:rPr>
          <w:rFonts w:cs="Arial"/>
        </w:rPr>
        <w:t>Clinic PCC meetings: varies by clinic, check with preceptor</w:t>
      </w:r>
    </w:p>
    <w:p w:rsidRPr="0039397D" w:rsidR="0095323A" w:rsidP="0095323A" w:rsidRDefault="0095323A" w14:paraId="1BF70139" w14:textId="77777777">
      <w:pPr>
        <w:pStyle w:val="ListParagraph"/>
        <w:numPr>
          <w:ilvl w:val="0"/>
          <w:numId w:val="5"/>
        </w:numPr>
        <w:spacing w:after="60"/>
        <w:rPr>
          <w:rFonts w:cs="Arial"/>
          <w:b/>
        </w:rPr>
      </w:pPr>
      <w:r>
        <w:rPr>
          <w:rFonts w:cs="Arial"/>
        </w:rPr>
        <w:t xml:space="preserve">Midyear Clinical Meeting. </w:t>
      </w:r>
      <w:r w:rsidRPr="0039397D">
        <w:rPr>
          <w:rFonts w:cs="Arial"/>
        </w:rPr>
        <w:t>Residents may attend oth</w:t>
      </w:r>
      <w:r>
        <w:rPr>
          <w:rFonts w:cs="Arial"/>
        </w:rPr>
        <w:t>er professional meetings with RDC/RPC approval</w:t>
      </w:r>
      <w:r w:rsidRPr="0039397D">
        <w:rPr>
          <w:rFonts w:cs="Arial"/>
        </w:rPr>
        <w:t>.</w:t>
      </w:r>
    </w:p>
    <w:p w:rsidRPr="0039397D" w:rsidR="00BB3DBC" w:rsidP="00F82DCD" w:rsidRDefault="00E66D02" w14:paraId="65B44DBE" w14:textId="2C0A0AE9">
      <w:pPr>
        <w:pStyle w:val="ListParagraph"/>
        <w:numPr>
          <w:ilvl w:val="0"/>
          <w:numId w:val="5"/>
        </w:numPr>
        <w:spacing w:after="60"/>
        <w:rPr>
          <w:rFonts w:cs="Arial"/>
        </w:rPr>
      </w:pPr>
      <w:r w:rsidRPr="0039397D">
        <w:rPr>
          <w:rFonts w:cs="Arial"/>
        </w:rPr>
        <w:t xml:space="preserve">Grand rounds: </w:t>
      </w:r>
      <w:r w:rsidRPr="0039397D" w:rsidR="00BB3DBC">
        <w:rPr>
          <w:rFonts w:cs="Arial"/>
        </w:rPr>
        <w:t xml:space="preserve"> </w:t>
      </w:r>
      <w:r w:rsidRPr="0039397D" w:rsidR="00A52DC3">
        <w:rPr>
          <w:rFonts w:cs="Arial"/>
        </w:rPr>
        <w:t xml:space="preserve">Tuesdays at 8am at PSVMC, Wednesdays </w:t>
      </w:r>
      <w:r w:rsidRPr="0039397D">
        <w:rPr>
          <w:rFonts w:cs="Arial"/>
        </w:rPr>
        <w:t>8am at PPMC. Search for “Grand Rou</w:t>
      </w:r>
      <w:r w:rsidR="00117FC4">
        <w:rPr>
          <w:rFonts w:cs="Arial"/>
        </w:rPr>
        <w:t xml:space="preserve">nds” on Intranet for calendar. </w:t>
      </w:r>
      <w:r w:rsidRPr="0039397D">
        <w:rPr>
          <w:rFonts w:cs="Arial"/>
        </w:rPr>
        <w:t>Attend Primary Care topics at a minimum, as able.</w:t>
      </w:r>
      <w:r w:rsidR="0095323A">
        <w:rPr>
          <w:rFonts w:cs="Arial"/>
        </w:rPr>
        <w:t>*</w:t>
      </w:r>
    </w:p>
    <w:p w:rsidR="001849C2" w:rsidP="00255783" w:rsidRDefault="00C54EC9" w14:paraId="5D989BF2" w14:textId="7A76BA88">
      <w:pPr>
        <w:pStyle w:val="ListParagraph"/>
        <w:numPr>
          <w:ilvl w:val="0"/>
          <w:numId w:val="5"/>
        </w:numPr>
        <w:spacing w:after="120" w:line="240" w:lineRule="auto"/>
        <w:rPr>
          <w:rFonts w:cs="Arial"/>
        </w:rPr>
      </w:pPr>
      <w:r>
        <w:rPr>
          <w:rFonts w:cs="Arial"/>
        </w:rPr>
        <w:t>Ambulatory Care Rounds</w:t>
      </w:r>
      <w:r w:rsidR="0095323A">
        <w:rPr>
          <w:rFonts w:cs="Arial"/>
        </w:rPr>
        <w:t>*</w:t>
      </w:r>
    </w:p>
    <w:p w:rsidR="00255783" w:rsidP="00255783" w:rsidRDefault="00255783" w14:paraId="0708DF9A" w14:textId="77777777">
      <w:pPr>
        <w:pStyle w:val="ListParagraph"/>
        <w:spacing w:after="120" w:line="240" w:lineRule="auto"/>
        <w:rPr>
          <w:rFonts w:cs="Arial"/>
        </w:rPr>
      </w:pPr>
    </w:p>
    <w:p w:rsidRPr="00B36BD6" w:rsidR="00F279EF" w:rsidP="00255783" w:rsidRDefault="00F279EF" w14:paraId="5AEE9BBA" w14:textId="77777777">
      <w:pPr>
        <w:pStyle w:val="ListParagraph"/>
        <w:spacing w:before="120" w:after="60"/>
        <w:ind w:left="0"/>
        <w:outlineLvl w:val="0"/>
        <w:rPr>
          <w:rFonts w:cs="Arial"/>
          <w:b/>
        </w:rPr>
      </w:pPr>
      <w:r w:rsidRPr="00B36BD6">
        <w:rPr>
          <w:rFonts w:cs="Arial"/>
          <w:b/>
        </w:rPr>
        <w:t>Teaching</w:t>
      </w:r>
    </w:p>
    <w:p w:rsidRPr="0039397D" w:rsidR="00F279EF" w:rsidP="00F82DCD" w:rsidRDefault="00F279EF" w14:paraId="0ED915AD" w14:textId="57B0B842">
      <w:pPr>
        <w:pStyle w:val="ListParagraph"/>
        <w:spacing w:after="60"/>
        <w:ind w:left="0"/>
        <w:rPr>
          <w:rFonts w:cs="Arial"/>
        </w:rPr>
      </w:pPr>
      <w:r w:rsidRPr="0039397D">
        <w:rPr>
          <w:rFonts w:cs="Arial"/>
        </w:rPr>
        <w:t>The education of future pharmacy professionals is a responsibility and a privilege of the ambulatory care special</w:t>
      </w:r>
      <w:r w:rsidR="006256EE">
        <w:rPr>
          <w:rFonts w:cs="Arial"/>
        </w:rPr>
        <w:t>ist.</w:t>
      </w:r>
      <w:r w:rsidRPr="0039397D" w:rsidR="00063F48">
        <w:rPr>
          <w:rFonts w:cs="Arial"/>
        </w:rPr>
        <w:t xml:space="preserve"> </w:t>
      </w:r>
      <w:r w:rsidRPr="0039397D" w:rsidR="00B36FCA">
        <w:rPr>
          <w:rFonts w:cs="Arial"/>
        </w:rPr>
        <w:t xml:space="preserve">Teaching enhances communication skills, builds confidence, and prepares the resident </w:t>
      </w:r>
      <w:r w:rsidR="00117FC4">
        <w:rPr>
          <w:rFonts w:cs="Arial"/>
        </w:rPr>
        <w:t>for potential roles as faculty.</w:t>
      </w:r>
      <w:r w:rsidRPr="0039397D" w:rsidR="00B36FCA">
        <w:rPr>
          <w:rFonts w:cs="Arial"/>
        </w:rPr>
        <w:t xml:space="preserve"> </w:t>
      </w:r>
      <w:r w:rsidRPr="0039397D" w:rsidR="00063F48">
        <w:rPr>
          <w:rFonts w:cs="Arial"/>
        </w:rPr>
        <w:t xml:space="preserve">Residents will be required to participate in the education of pharmacy students and PGY1 residents, which </w:t>
      </w:r>
      <w:r w:rsidR="00034E54">
        <w:rPr>
          <w:rFonts w:cs="Arial"/>
        </w:rPr>
        <w:t>may include</w:t>
      </w:r>
      <w:r w:rsidRPr="0039397D" w:rsidR="00063F48">
        <w:rPr>
          <w:rFonts w:cs="Arial"/>
        </w:rPr>
        <w:t xml:space="preserve"> the following:</w:t>
      </w:r>
    </w:p>
    <w:p w:rsidRPr="0039397D" w:rsidR="00063F48" w:rsidP="00F82DCD" w:rsidRDefault="006256EE" w14:paraId="39213EED" w14:textId="77777777">
      <w:pPr>
        <w:pStyle w:val="ListParagraph"/>
        <w:numPr>
          <w:ilvl w:val="0"/>
          <w:numId w:val="15"/>
        </w:numPr>
        <w:spacing w:after="60"/>
        <w:rPr>
          <w:rFonts w:cs="Arial"/>
        </w:rPr>
      </w:pPr>
      <w:r>
        <w:rPr>
          <w:rFonts w:cs="Arial"/>
        </w:rPr>
        <w:t>Co-precept 1-2 pharmacy students</w:t>
      </w:r>
    </w:p>
    <w:p w:rsidRPr="0039397D" w:rsidR="00063F48" w:rsidP="00F82DCD" w:rsidRDefault="006256EE" w14:paraId="4B77E2F6" w14:textId="77777777">
      <w:pPr>
        <w:pStyle w:val="ListParagraph"/>
        <w:numPr>
          <w:ilvl w:val="0"/>
          <w:numId w:val="15"/>
        </w:numPr>
        <w:spacing w:after="60"/>
        <w:rPr>
          <w:rFonts w:cs="Arial"/>
        </w:rPr>
      </w:pPr>
      <w:r>
        <w:rPr>
          <w:rFonts w:cs="Arial"/>
        </w:rPr>
        <w:t>Potentially c</w:t>
      </w:r>
      <w:r w:rsidRPr="0039397D" w:rsidR="00063F48">
        <w:rPr>
          <w:rFonts w:cs="Arial"/>
        </w:rPr>
        <w:t xml:space="preserve">o-precept one PGY1 resident </w:t>
      </w:r>
    </w:p>
    <w:p w:rsidRPr="0039397D" w:rsidR="00063F48" w:rsidP="00F82DCD" w:rsidRDefault="00063F48" w14:paraId="514AE18A" w14:textId="77777777">
      <w:pPr>
        <w:pStyle w:val="ListParagraph"/>
        <w:numPr>
          <w:ilvl w:val="0"/>
          <w:numId w:val="15"/>
        </w:numPr>
        <w:spacing w:after="60"/>
        <w:rPr>
          <w:rFonts w:cs="Arial"/>
        </w:rPr>
      </w:pPr>
      <w:r w:rsidRPr="0039397D">
        <w:rPr>
          <w:rFonts w:cs="Arial"/>
        </w:rPr>
        <w:t xml:space="preserve">Teach </w:t>
      </w:r>
      <w:r w:rsidR="00D4053B">
        <w:rPr>
          <w:rFonts w:cs="Arial"/>
        </w:rPr>
        <w:t>Ambulatory Care Rounds for PGY1 residents</w:t>
      </w:r>
      <w:r w:rsidRPr="0039397D">
        <w:rPr>
          <w:rFonts w:cs="Arial"/>
        </w:rPr>
        <w:t xml:space="preserve"> </w:t>
      </w:r>
    </w:p>
    <w:p w:rsidR="003156D8" w:rsidP="00D4053B" w:rsidRDefault="00063F48" w14:paraId="40BB53BC" w14:textId="36D8D2DC">
      <w:pPr>
        <w:pStyle w:val="ListParagraph"/>
        <w:numPr>
          <w:ilvl w:val="0"/>
          <w:numId w:val="15"/>
        </w:numPr>
        <w:spacing w:after="60"/>
        <w:rPr>
          <w:rFonts w:cs="Arial"/>
        </w:rPr>
      </w:pPr>
      <w:r w:rsidRPr="0039397D">
        <w:rPr>
          <w:rFonts w:cs="Arial"/>
        </w:rPr>
        <w:t>Lectur</w:t>
      </w:r>
      <w:r w:rsidR="00630063">
        <w:rPr>
          <w:rFonts w:cs="Arial"/>
        </w:rPr>
        <w:t>e</w:t>
      </w:r>
      <w:r w:rsidRPr="0039397D">
        <w:rPr>
          <w:rFonts w:cs="Arial"/>
        </w:rPr>
        <w:t xml:space="preserve"> at Oregon State University or Pacific Schools of Pharmacy, as interested</w:t>
      </w:r>
      <w:r w:rsidR="007602A2">
        <w:rPr>
          <w:rFonts w:cs="Arial"/>
        </w:rPr>
        <w:t>*</w:t>
      </w:r>
    </w:p>
    <w:p w:rsidR="00630063" w:rsidP="00D4053B" w:rsidRDefault="00630063" w14:paraId="6D881CA6" w14:textId="2581CE30">
      <w:pPr>
        <w:pStyle w:val="ListParagraph"/>
        <w:numPr>
          <w:ilvl w:val="0"/>
          <w:numId w:val="15"/>
        </w:numPr>
        <w:spacing w:after="60"/>
        <w:rPr>
          <w:rFonts w:cs="Arial"/>
        </w:rPr>
      </w:pPr>
      <w:r>
        <w:rPr>
          <w:rFonts w:cs="Arial"/>
        </w:rPr>
        <w:t>Assist with teaching/coordination of practice based</w:t>
      </w:r>
      <w:r w:rsidR="00460D68">
        <w:rPr>
          <w:rFonts w:cs="Arial"/>
        </w:rPr>
        <w:t xml:space="preserve"> skills lab</w:t>
      </w:r>
      <w:r>
        <w:rPr>
          <w:rFonts w:cs="Arial"/>
        </w:rPr>
        <w:t xml:space="preserve"> at Pacific School of Pharmacy, as interested</w:t>
      </w:r>
      <w:r w:rsidR="007602A2">
        <w:rPr>
          <w:rFonts w:cs="Arial"/>
        </w:rPr>
        <w:t>*</w:t>
      </w:r>
      <w:r>
        <w:rPr>
          <w:rFonts w:cs="Arial"/>
        </w:rPr>
        <w:t xml:space="preserve"> </w:t>
      </w:r>
    </w:p>
    <w:p w:rsidR="00630063" w:rsidP="00D4053B" w:rsidRDefault="00630063" w14:paraId="19C005D7" w14:textId="69A26F18">
      <w:pPr>
        <w:pStyle w:val="ListParagraph"/>
        <w:numPr>
          <w:ilvl w:val="0"/>
          <w:numId w:val="15"/>
        </w:numPr>
        <w:spacing w:after="60"/>
        <w:rPr>
          <w:rFonts w:cs="Arial"/>
        </w:rPr>
      </w:pPr>
      <w:r>
        <w:rPr>
          <w:rFonts w:cs="Arial"/>
        </w:rPr>
        <w:t>Present case-based learning (CBLs) for medical residents</w:t>
      </w:r>
      <w:r w:rsidR="007602A2">
        <w:rPr>
          <w:rFonts w:cs="Arial"/>
        </w:rPr>
        <w:t>*</w:t>
      </w:r>
    </w:p>
    <w:p w:rsidRPr="00B36BD6" w:rsidR="00063F48" w:rsidP="00F82DCD" w:rsidRDefault="00063F48" w14:paraId="5F63486A" w14:textId="77777777">
      <w:pPr>
        <w:spacing w:after="60"/>
        <w:outlineLvl w:val="0"/>
        <w:rPr>
          <w:rFonts w:cs="Arial"/>
          <w:b/>
        </w:rPr>
      </w:pPr>
      <w:r w:rsidRPr="00B36BD6">
        <w:rPr>
          <w:rFonts w:cs="Arial"/>
          <w:b/>
        </w:rPr>
        <w:t>Practice Management</w:t>
      </w:r>
    </w:p>
    <w:p w:rsidRPr="0039397D" w:rsidR="00101EB6" w:rsidP="00F82DCD" w:rsidRDefault="00101EB6" w14:paraId="7EDDFC05" w14:textId="39D0B69E">
      <w:pPr>
        <w:pStyle w:val="ListParagraph"/>
        <w:numPr>
          <w:ilvl w:val="0"/>
          <w:numId w:val="16"/>
        </w:numPr>
        <w:spacing w:after="60"/>
        <w:rPr>
          <w:rFonts w:cs="Arial"/>
          <w:u w:val="single"/>
        </w:rPr>
      </w:pPr>
      <w:r w:rsidRPr="0039397D">
        <w:rPr>
          <w:rFonts w:cs="Arial"/>
        </w:rPr>
        <w:t xml:space="preserve">Participate in writing and/or revision of </w:t>
      </w:r>
      <w:r w:rsidR="00623FD5">
        <w:rPr>
          <w:rFonts w:cs="Arial"/>
        </w:rPr>
        <w:t>Clinical Pharmacy</w:t>
      </w:r>
      <w:r w:rsidR="00B42F07">
        <w:rPr>
          <w:rFonts w:cs="Arial"/>
        </w:rPr>
        <w:t xml:space="preserve"> </w:t>
      </w:r>
      <w:r w:rsidRPr="0039397D" w:rsidR="00152329">
        <w:rPr>
          <w:rFonts w:cs="Arial"/>
        </w:rPr>
        <w:t>Agreements</w:t>
      </w:r>
      <w:r w:rsidR="00B42F07">
        <w:rPr>
          <w:rFonts w:cs="Arial"/>
        </w:rPr>
        <w:t xml:space="preserve"> (CPAs)</w:t>
      </w:r>
    </w:p>
    <w:p w:rsidRPr="00034E54" w:rsidR="00101EB6" w:rsidP="00F82DCD" w:rsidRDefault="009B09A6" w14:paraId="251A5324" w14:textId="16FA8EFD">
      <w:pPr>
        <w:pStyle w:val="ListParagraph"/>
        <w:numPr>
          <w:ilvl w:val="0"/>
          <w:numId w:val="16"/>
        </w:numPr>
        <w:spacing w:after="60"/>
        <w:rPr>
          <w:rFonts w:cs="Arial"/>
          <w:u w:val="single"/>
        </w:rPr>
      </w:pPr>
      <w:r w:rsidRPr="0039397D">
        <w:rPr>
          <w:rFonts w:cs="Arial"/>
        </w:rPr>
        <w:t xml:space="preserve">Participate in the maintenance of </w:t>
      </w:r>
      <w:r w:rsidR="00623FD5">
        <w:rPr>
          <w:rFonts w:cs="Arial"/>
        </w:rPr>
        <w:t>unusual occurrence report (</w:t>
      </w:r>
      <w:r w:rsidRPr="0039397D">
        <w:rPr>
          <w:rFonts w:cs="Arial"/>
        </w:rPr>
        <w:t>UOR</w:t>
      </w:r>
      <w:r w:rsidR="00623FD5">
        <w:rPr>
          <w:rFonts w:cs="Arial"/>
        </w:rPr>
        <w:t>)</w:t>
      </w:r>
      <w:r w:rsidRPr="0039397D">
        <w:rPr>
          <w:rFonts w:cs="Arial"/>
        </w:rPr>
        <w:t xml:space="preserve">, patient safety issues, pharmaceuticals management, and other pertinent issues </w:t>
      </w:r>
    </w:p>
    <w:p w:rsidRPr="00034E54" w:rsidR="00034E54" w:rsidP="00F82DCD" w:rsidRDefault="00034E54" w14:paraId="7DF44159" w14:textId="77777777">
      <w:pPr>
        <w:pStyle w:val="ListParagraph"/>
        <w:numPr>
          <w:ilvl w:val="0"/>
          <w:numId w:val="16"/>
        </w:numPr>
        <w:spacing w:after="60"/>
        <w:rPr>
          <w:rFonts w:cs="Arial"/>
          <w:u w:val="single"/>
        </w:rPr>
      </w:pPr>
      <w:r>
        <w:rPr>
          <w:rFonts w:cs="Arial"/>
        </w:rPr>
        <w:t>Develop policies and procedures as needed</w:t>
      </w:r>
    </w:p>
    <w:p w:rsidRPr="0039397D" w:rsidR="00034E54" w:rsidP="00F82DCD" w:rsidRDefault="00034E54" w14:paraId="1E7BF928" w14:textId="77777777">
      <w:pPr>
        <w:pStyle w:val="ListParagraph"/>
        <w:numPr>
          <w:ilvl w:val="0"/>
          <w:numId w:val="16"/>
        </w:numPr>
        <w:spacing w:after="60"/>
        <w:rPr>
          <w:rFonts w:cs="Arial"/>
          <w:u w:val="single"/>
        </w:rPr>
      </w:pPr>
      <w:r>
        <w:rPr>
          <w:rFonts w:cs="Arial"/>
        </w:rPr>
        <w:t>Assist in the design and support of new pharmacy services</w:t>
      </w:r>
    </w:p>
    <w:p w:rsidRPr="00DC4AAE" w:rsidR="00B36BD6" w:rsidP="00DC4AAE" w:rsidRDefault="00152329" w14:paraId="151236E5" w14:textId="77777777">
      <w:pPr>
        <w:pStyle w:val="ListParagraph"/>
        <w:numPr>
          <w:ilvl w:val="0"/>
          <w:numId w:val="16"/>
        </w:numPr>
        <w:spacing w:after="60"/>
        <w:rPr>
          <w:rFonts w:cs="Arial"/>
        </w:rPr>
      </w:pPr>
      <w:r w:rsidRPr="0039397D">
        <w:rPr>
          <w:rFonts w:cs="Arial"/>
        </w:rPr>
        <w:t>Integrate into the ambulatory care clinic as an essential member of the healthcare team</w:t>
      </w:r>
    </w:p>
    <w:p w:rsidR="00B36BD6" w:rsidP="00F82DCD" w:rsidRDefault="00B36BD6" w14:paraId="3EAF5844" w14:textId="77777777">
      <w:pPr>
        <w:autoSpaceDE w:val="0"/>
        <w:autoSpaceDN w:val="0"/>
        <w:adjustRightInd w:val="0"/>
        <w:spacing w:after="0"/>
        <w:outlineLvl w:val="0"/>
        <w:rPr>
          <w:rFonts w:cs="Arial"/>
          <w:b/>
          <w:color w:val="17365D" w:themeColor="text2" w:themeShade="BF"/>
          <w:sz w:val="28"/>
          <w:szCs w:val="28"/>
          <w:u w:val="single"/>
        </w:rPr>
      </w:pPr>
      <w:r>
        <w:rPr>
          <w:rFonts w:cs="Arial"/>
          <w:b/>
          <w:color w:val="17365D" w:themeColor="text2" w:themeShade="BF"/>
          <w:sz w:val="28"/>
          <w:szCs w:val="28"/>
          <w:u w:val="single"/>
        </w:rPr>
        <w:t>Residency Structure</w:t>
      </w:r>
    </w:p>
    <w:p w:rsidRPr="00E477EA" w:rsidR="00E477EA" w:rsidP="00F82DCD" w:rsidRDefault="00E477EA" w14:paraId="67D9F9B3" w14:textId="77777777">
      <w:pPr>
        <w:spacing w:after="0"/>
      </w:pPr>
      <w:r w:rsidRPr="00E477EA">
        <w:t xml:space="preserve">The core of the PGY2 Ambulatory Care Residency is direct patient care experience in the primary care setting. </w:t>
      </w:r>
      <w:r>
        <w:t xml:space="preserve"> As such, most of the learning experiences are longitudinal.</w:t>
      </w:r>
      <w:r w:rsidR="00460D68">
        <w:t xml:space="preserve"> More information regarding these learning experiences can be found by referencing the learning experience descriptions (LEDs).</w:t>
      </w:r>
    </w:p>
    <w:p w:rsidRPr="00CB5E0B" w:rsidR="00460D68" w:rsidP="00F82DCD" w:rsidRDefault="00460D68" w14:paraId="304D2F6E" w14:textId="77777777">
      <w:pPr>
        <w:spacing w:after="0"/>
        <w:rPr>
          <w:b/>
          <w:sz w:val="12"/>
          <w:szCs w:val="12"/>
        </w:rPr>
      </w:pPr>
    </w:p>
    <w:p w:rsidRPr="00B36BD6" w:rsidR="00E477EA" w:rsidP="00F82DCD" w:rsidRDefault="00687B86" w14:paraId="1C215BEA" w14:textId="77777777">
      <w:pPr>
        <w:spacing w:after="0"/>
        <w:rPr>
          <w:b/>
        </w:rPr>
      </w:pPr>
      <w:r>
        <w:rPr>
          <w:b/>
        </w:rPr>
        <w:t>Longitudinal</w:t>
      </w:r>
      <w:r w:rsidRPr="00B36BD6" w:rsidR="00E477EA">
        <w:rPr>
          <w:b/>
        </w:rPr>
        <w:t xml:space="preserve"> </w:t>
      </w:r>
      <w:r>
        <w:rPr>
          <w:b/>
        </w:rPr>
        <w:t>L</w:t>
      </w:r>
      <w:r w:rsidRPr="00B36BD6" w:rsidR="00E477EA">
        <w:rPr>
          <w:b/>
        </w:rPr>
        <w:t xml:space="preserve">earning </w:t>
      </w:r>
      <w:r>
        <w:rPr>
          <w:b/>
        </w:rPr>
        <w:t>E</w:t>
      </w:r>
      <w:r w:rsidRPr="00B36BD6" w:rsidR="00E477EA">
        <w:rPr>
          <w:b/>
        </w:rPr>
        <w:t>xperiences</w:t>
      </w:r>
      <w:r w:rsidR="00B766A3">
        <w:rPr>
          <w:b/>
        </w:rPr>
        <w:t xml:space="preserve"> </w:t>
      </w:r>
    </w:p>
    <w:p w:rsidRPr="00E706EA" w:rsidR="00AF6B85" w:rsidP="00AF6B85" w:rsidRDefault="00FB0D57" w14:paraId="46CFE863" w14:textId="3EAD2681">
      <w:pPr>
        <w:numPr>
          <w:ilvl w:val="0"/>
          <w:numId w:val="36"/>
        </w:numPr>
        <w:spacing w:after="0" w:line="240" w:lineRule="auto"/>
      </w:pPr>
      <w:r>
        <w:t>Primary Care 1-4</w:t>
      </w:r>
      <w:r w:rsidR="002E350B">
        <w:t xml:space="preserve"> (</w:t>
      </w:r>
      <w:r w:rsidR="00AD12BF">
        <w:t>8 – 12 weeks)</w:t>
      </w:r>
    </w:p>
    <w:p w:rsidR="00AF6B85" w:rsidP="0034583B" w:rsidRDefault="00AF6B85" w14:paraId="311309A3" w14:textId="45408D15">
      <w:pPr>
        <w:numPr>
          <w:ilvl w:val="1"/>
          <w:numId w:val="36"/>
        </w:numPr>
        <w:spacing w:after="0" w:line="240" w:lineRule="auto"/>
      </w:pPr>
      <w:r>
        <w:t>Clinic tim</w:t>
      </w:r>
      <w:r w:rsidR="00923AEA">
        <w:t>e</w:t>
      </w:r>
      <w:r w:rsidR="007D4345">
        <w:t xml:space="preserve">: </w:t>
      </w:r>
      <w:r w:rsidR="0034583B">
        <w:t xml:space="preserve">at least </w:t>
      </w:r>
      <w:r w:rsidR="007D4345">
        <w:t>f</w:t>
      </w:r>
      <w:r w:rsidR="002E02D0">
        <w:t xml:space="preserve">our ½ days </w:t>
      </w:r>
      <w:r w:rsidR="005E7903">
        <w:t>per week in primary care clinic</w:t>
      </w:r>
    </w:p>
    <w:p w:rsidR="00AF6B85" w:rsidP="007D4345" w:rsidRDefault="007D4345" w14:paraId="42658CBA" w14:textId="6AC4892D">
      <w:pPr>
        <w:numPr>
          <w:ilvl w:val="1"/>
          <w:numId w:val="36"/>
        </w:numPr>
        <w:spacing w:after="0" w:line="240" w:lineRule="auto"/>
      </w:pPr>
      <w:r>
        <w:t>Telephonic (v</w:t>
      </w:r>
      <w:r w:rsidR="00AF6B85">
        <w:t>irtual) clinic</w:t>
      </w:r>
      <w:r>
        <w:t>: t</w:t>
      </w:r>
      <w:r w:rsidR="005E7903">
        <w:t xml:space="preserve">wo </w:t>
      </w:r>
      <w:r w:rsidR="00AF6B85">
        <w:t xml:space="preserve">½ days per </w:t>
      </w:r>
      <w:r w:rsidR="005E7903">
        <w:t>week conducting virtual clinic</w:t>
      </w:r>
    </w:p>
    <w:p w:rsidR="002E02D0" w:rsidP="0034583B" w:rsidRDefault="002E02D0" w14:paraId="4CD4A598" w14:textId="77777777">
      <w:pPr>
        <w:numPr>
          <w:ilvl w:val="1"/>
          <w:numId w:val="36"/>
        </w:numPr>
        <w:spacing w:after="0" w:line="240" w:lineRule="auto"/>
      </w:pPr>
      <w:r>
        <w:t xml:space="preserve">Complete clinical consult questions for assigned clinics </w:t>
      </w:r>
    </w:p>
    <w:p w:rsidR="00EA443B" w:rsidP="0034583B" w:rsidRDefault="00EA443B" w14:paraId="14E192E3" w14:textId="77777777">
      <w:pPr>
        <w:numPr>
          <w:ilvl w:val="1"/>
          <w:numId w:val="36"/>
        </w:numPr>
        <w:spacing w:after="0" w:line="240" w:lineRule="auto"/>
      </w:pPr>
      <w:r>
        <w:t xml:space="preserve">Provide population health support as warranted per clinic assignment </w:t>
      </w:r>
    </w:p>
    <w:p w:rsidR="0047319D" w:rsidP="00255783" w:rsidRDefault="0047319D" w14:paraId="3C5389B0" w14:textId="6BD5E839">
      <w:pPr>
        <w:numPr>
          <w:ilvl w:val="1"/>
          <w:numId w:val="36"/>
        </w:numPr>
        <w:spacing w:after="120" w:line="240" w:lineRule="auto"/>
      </w:pPr>
      <w:r w:rsidRPr="00E477EA">
        <w:t>For the first three to six months of the residency, the resident will attend clinic with preceptors in established PMG clinics. After three to six months, the resident will be responsible for independently managing clinic activities, with preceptor oversight as needed</w:t>
      </w:r>
    </w:p>
    <w:p w:rsidRPr="00E706EA" w:rsidR="00AF6B85" w:rsidP="00AF6B85" w:rsidRDefault="002E02D0" w14:paraId="2CCCB9B3" w14:textId="212CFC68">
      <w:pPr>
        <w:numPr>
          <w:ilvl w:val="0"/>
          <w:numId w:val="36"/>
        </w:numPr>
        <w:spacing w:after="0" w:line="240" w:lineRule="auto"/>
      </w:pPr>
      <w:r>
        <w:t xml:space="preserve">Leadership </w:t>
      </w:r>
      <w:r w:rsidRPr="00E706EA" w:rsidR="00AF6B85">
        <w:t>and Administration</w:t>
      </w:r>
      <w:r w:rsidR="001821EF">
        <w:t xml:space="preserve"> (46 – 48</w:t>
      </w:r>
      <w:r w:rsidR="002E350B">
        <w:t xml:space="preserve"> weeks</w:t>
      </w:r>
      <w:r w:rsidR="00AD12BF">
        <w:t xml:space="preserve">) </w:t>
      </w:r>
    </w:p>
    <w:p w:rsidR="00AF6B85" w:rsidP="00AF6B85" w:rsidRDefault="00AF6B85" w14:paraId="44FCDA73" w14:textId="77777777">
      <w:pPr>
        <w:numPr>
          <w:ilvl w:val="1"/>
          <w:numId w:val="36"/>
        </w:numPr>
        <w:spacing w:after="0" w:line="240" w:lineRule="auto"/>
      </w:pPr>
      <w:r w:rsidRPr="00E706EA">
        <w:t>Attend and participate in interdisciplinary workgroups</w:t>
      </w:r>
    </w:p>
    <w:p w:rsidRPr="00E706EA" w:rsidR="0034583B" w:rsidP="00AF6B85" w:rsidRDefault="0034583B" w14:paraId="33554020" w14:textId="77777777">
      <w:pPr>
        <w:numPr>
          <w:ilvl w:val="1"/>
          <w:numId w:val="36"/>
        </w:numPr>
        <w:spacing w:after="0" w:line="240" w:lineRule="auto"/>
      </w:pPr>
      <w:r>
        <w:t>Engage with ASHP leadership through phone interview and connecting at the Midyear Clinical Meeting</w:t>
      </w:r>
    </w:p>
    <w:p w:rsidRPr="00E706EA" w:rsidR="00AF6B85" w:rsidP="00AF6B85" w:rsidRDefault="00AF6B85" w14:paraId="6889D700" w14:textId="77777777">
      <w:pPr>
        <w:numPr>
          <w:ilvl w:val="1"/>
          <w:numId w:val="36"/>
        </w:numPr>
        <w:spacing w:after="0" w:line="240" w:lineRule="auto"/>
      </w:pPr>
      <w:r w:rsidRPr="00E706EA">
        <w:t>Participate in the development, maintenance, or quality improvement of pharmacy services</w:t>
      </w:r>
    </w:p>
    <w:p w:rsidRPr="00E706EA" w:rsidR="00AF6B85" w:rsidP="00AF6B85" w:rsidRDefault="00AF6B85" w14:paraId="0B0A10DE" w14:textId="77777777">
      <w:pPr>
        <w:numPr>
          <w:ilvl w:val="1"/>
          <w:numId w:val="36"/>
        </w:numPr>
        <w:spacing w:after="0" w:line="240" w:lineRule="auto"/>
      </w:pPr>
      <w:r w:rsidRPr="00E706EA">
        <w:t>Attend meetings with Pharmacy Department Director and Clinical Pharmacy manager</w:t>
      </w:r>
    </w:p>
    <w:p w:rsidRPr="00E706EA" w:rsidR="00AF6B85" w:rsidP="00AF6B85" w:rsidRDefault="00AF6B85" w14:paraId="1C35BD69" w14:textId="77777777">
      <w:pPr>
        <w:numPr>
          <w:ilvl w:val="1"/>
          <w:numId w:val="36"/>
        </w:numPr>
        <w:spacing w:after="0" w:line="240" w:lineRule="auto"/>
      </w:pPr>
      <w:r w:rsidRPr="00E706EA">
        <w:t>Update collaborative practice agreements</w:t>
      </w:r>
    </w:p>
    <w:p w:rsidR="00AF6B85" w:rsidP="00255783" w:rsidRDefault="00AF6B85" w14:paraId="54B037CA" w14:textId="77777777">
      <w:pPr>
        <w:numPr>
          <w:ilvl w:val="1"/>
          <w:numId w:val="36"/>
        </w:numPr>
        <w:spacing w:after="120" w:line="240" w:lineRule="auto"/>
      </w:pPr>
      <w:r w:rsidRPr="00E706EA">
        <w:t>Practice self-managed professional development</w:t>
      </w:r>
    </w:p>
    <w:p w:rsidRPr="00E706EA" w:rsidR="00AF6B85" w:rsidP="00AF6B85" w:rsidRDefault="00AF6B85" w14:paraId="075927A3" w14:textId="2C6AE31D">
      <w:pPr>
        <w:numPr>
          <w:ilvl w:val="0"/>
          <w:numId w:val="36"/>
        </w:numPr>
        <w:spacing w:after="0" w:line="240" w:lineRule="auto"/>
      </w:pPr>
      <w:r w:rsidRPr="00E706EA">
        <w:t>Health Education</w:t>
      </w:r>
      <w:r w:rsidR="002E350B">
        <w:t xml:space="preserve"> (</w:t>
      </w:r>
      <w:r w:rsidR="00AD12BF">
        <w:t xml:space="preserve">32 weeks) </w:t>
      </w:r>
    </w:p>
    <w:p w:rsidRPr="00E706EA" w:rsidR="00AF6B85" w:rsidP="00AF6B85" w:rsidRDefault="00AF6B85" w14:paraId="0252573C" w14:textId="16B30B77">
      <w:pPr>
        <w:numPr>
          <w:ilvl w:val="1"/>
          <w:numId w:val="36"/>
        </w:numPr>
        <w:spacing w:after="0" w:line="240" w:lineRule="auto"/>
      </w:pPr>
      <w:r w:rsidRPr="00E706EA">
        <w:t xml:space="preserve">Provide </w:t>
      </w:r>
      <w:r w:rsidR="00460D68">
        <w:t xml:space="preserve">educational </w:t>
      </w:r>
      <w:r w:rsidRPr="00E706EA">
        <w:t xml:space="preserve">presentations </w:t>
      </w:r>
      <w:r w:rsidR="00460D68">
        <w:t>(</w:t>
      </w:r>
      <w:r w:rsidR="00EA443B">
        <w:t>e.g. Ambulatory Care Rounds</w:t>
      </w:r>
      <w:r w:rsidR="00287879">
        <w:t>, CBLs</w:t>
      </w:r>
      <w:r w:rsidR="00EA443B">
        <w:t>)</w:t>
      </w:r>
    </w:p>
    <w:p w:rsidR="00AF6B85" w:rsidP="00255783" w:rsidRDefault="00AF6B85" w14:paraId="2BE9430F" w14:textId="41C6D87B">
      <w:pPr>
        <w:numPr>
          <w:ilvl w:val="1"/>
          <w:numId w:val="36"/>
        </w:numPr>
        <w:spacing w:after="120" w:line="240" w:lineRule="auto"/>
      </w:pPr>
      <w:r w:rsidRPr="00E706EA">
        <w:t xml:space="preserve">Participate in </w:t>
      </w:r>
      <w:r w:rsidR="00460D68">
        <w:t xml:space="preserve">the </w:t>
      </w:r>
      <w:r w:rsidRPr="00E706EA">
        <w:t>development of written educational materials for PMG providers and staff</w:t>
      </w:r>
      <w:r w:rsidR="00EA443B">
        <w:t xml:space="preserve"> (e.g. Hot Topics, Vax Facts) </w:t>
      </w:r>
    </w:p>
    <w:p w:rsidRPr="003550C0" w:rsidR="00AF6B85" w:rsidP="00255783" w:rsidRDefault="002E02D0" w14:paraId="2EBE5B03" w14:textId="4937AE20">
      <w:pPr>
        <w:numPr>
          <w:ilvl w:val="0"/>
          <w:numId w:val="36"/>
        </w:numPr>
        <w:spacing w:after="0" w:line="240" w:lineRule="auto"/>
      </w:pPr>
      <w:r w:rsidRPr="003550C0">
        <w:t>Evidence</w:t>
      </w:r>
      <w:r w:rsidR="00AD12BF">
        <w:t>-</w:t>
      </w:r>
      <w:r w:rsidRPr="003550C0">
        <w:t>Based Medicine</w:t>
      </w:r>
      <w:r w:rsidR="002E350B">
        <w:t xml:space="preserve"> (</w:t>
      </w:r>
      <w:r w:rsidR="001821EF">
        <w:t>46 – 48</w:t>
      </w:r>
      <w:r w:rsidR="003B6C71">
        <w:t xml:space="preserve"> weeks)</w:t>
      </w:r>
    </w:p>
    <w:p w:rsidRPr="0034583B" w:rsidR="003550C0" w:rsidP="0034583B" w:rsidRDefault="00262326" w14:paraId="57B65449" w14:textId="77777777">
      <w:pPr>
        <w:numPr>
          <w:ilvl w:val="1"/>
          <w:numId w:val="36"/>
        </w:numPr>
        <w:spacing w:after="0" w:line="240" w:lineRule="auto"/>
      </w:pPr>
      <w:r>
        <w:rPr>
          <w:color w:val="000000"/>
          <w:shd w:val="clear" w:color="auto" w:fill="FFFFFF"/>
        </w:rPr>
        <w:t>D</w:t>
      </w:r>
      <w:r w:rsidRPr="0034583B" w:rsidR="003550C0">
        <w:rPr>
          <w:color w:val="000000"/>
          <w:shd w:val="clear" w:color="auto" w:fill="FFFFFF"/>
        </w:rPr>
        <w:t>evelops skills in literature retrieval, evaluation, and dissemination through a variety of both didactic and practical experiences</w:t>
      </w:r>
    </w:p>
    <w:p w:rsidRPr="00A949D4" w:rsidR="003550C0" w:rsidP="0034583B" w:rsidRDefault="003550C0" w14:paraId="08CC5854" w14:textId="7E78FB1C">
      <w:pPr>
        <w:numPr>
          <w:ilvl w:val="1"/>
          <w:numId w:val="36"/>
        </w:numPr>
        <w:spacing w:after="0" w:line="240" w:lineRule="auto"/>
      </w:pPr>
      <w:r>
        <w:rPr>
          <w:color w:val="000000"/>
          <w:shd w:val="clear" w:color="auto" w:fill="FFFFFF"/>
        </w:rPr>
        <w:t>Prepares Question of the Quarter and</w:t>
      </w:r>
      <w:r w:rsidR="00AD12BF">
        <w:rPr>
          <w:color w:val="000000"/>
          <w:shd w:val="clear" w:color="auto" w:fill="FFFFFF"/>
        </w:rPr>
        <w:t xml:space="preserve"> present</w:t>
      </w:r>
      <w:r>
        <w:rPr>
          <w:color w:val="000000"/>
          <w:shd w:val="clear" w:color="auto" w:fill="FFFFFF"/>
        </w:rPr>
        <w:t xml:space="preserve"> CE </w:t>
      </w:r>
    </w:p>
    <w:p w:rsidRPr="00A949D4" w:rsidR="007602A2" w:rsidP="00A949D4" w:rsidRDefault="007602A2" w14:paraId="4351227D" w14:textId="77777777">
      <w:pPr>
        <w:spacing w:after="0" w:line="240" w:lineRule="auto"/>
        <w:ind w:left="1800"/>
        <w:rPr>
          <w:sz w:val="12"/>
          <w:szCs w:val="12"/>
        </w:rPr>
      </w:pPr>
    </w:p>
    <w:p w:rsidR="00830261" w:rsidP="00830261" w:rsidRDefault="00830261" w14:paraId="172F88D7" w14:textId="5CD995E5">
      <w:pPr>
        <w:numPr>
          <w:ilvl w:val="0"/>
          <w:numId w:val="36"/>
        </w:numPr>
        <w:spacing w:after="0" w:line="240" w:lineRule="auto"/>
      </w:pPr>
      <w:r>
        <w:t>Endocrinology</w:t>
      </w:r>
      <w:r w:rsidR="002E350B">
        <w:t xml:space="preserve"> (</w:t>
      </w:r>
      <w:r w:rsidR="003B6C71">
        <w:t>8 – 12 weeks)</w:t>
      </w:r>
      <w:r w:rsidR="007602A2">
        <w:t>*</w:t>
      </w:r>
    </w:p>
    <w:p w:rsidR="002E350B" w:rsidP="002E350B" w:rsidRDefault="002E350B" w14:paraId="13AB0B3E" w14:textId="4AD37F54">
      <w:pPr>
        <w:numPr>
          <w:ilvl w:val="1"/>
          <w:numId w:val="36"/>
        </w:numPr>
        <w:spacing w:after="0" w:line="240" w:lineRule="auto"/>
      </w:pPr>
      <w:r>
        <w:t>1 day per week</w:t>
      </w:r>
    </w:p>
    <w:p w:rsidRPr="00A949D4" w:rsidR="007602A2" w:rsidP="00A949D4" w:rsidRDefault="007602A2" w14:paraId="1AB73B2E" w14:textId="77777777">
      <w:pPr>
        <w:spacing w:after="0" w:line="240" w:lineRule="auto"/>
        <w:ind w:left="1800"/>
        <w:rPr>
          <w:sz w:val="12"/>
          <w:szCs w:val="12"/>
        </w:rPr>
      </w:pPr>
    </w:p>
    <w:p w:rsidR="00830261" w:rsidP="00830261" w:rsidRDefault="00EB704E" w14:paraId="7B77BCE4" w14:textId="00200F0B">
      <w:pPr>
        <w:numPr>
          <w:ilvl w:val="0"/>
          <w:numId w:val="36"/>
        </w:numPr>
        <w:spacing w:after="0" w:line="240" w:lineRule="auto"/>
      </w:pPr>
      <w:r>
        <w:t>PMG</w:t>
      </w:r>
      <w:r w:rsidR="00830261">
        <w:t xml:space="preserve"> at Home </w:t>
      </w:r>
      <w:r w:rsidR="001821EF">
        <w:t>(4</w:t>
      </w:r>
      <w:r w:rsidR="003B6C71">
        <w:t xml:space="preserve"> weeks)</w:t>
      </w:r>
      <w:r w:rsidR="007602A2">
        <w:t>*</w:t>
      </w:r>
    </w:p>
    <w:p w:rsidR="002E350B" w:rsidP="00255783" w:rsidRDefault="002E350B" w14:paraId="2EC89647" w14:textId="2BD86C49">
      <w:pPr>
        <w:numPr>
          <w:ilvl w:val="1"/>
          <w:numId w:val="36"/>
        </w:numPr>
        <w:spacing w:after="120" w:line="240" w:lineRule="auto"/>
      </w:pPr>
      <w:r>
        <w:t xml:space="preserve">2 days per week </w:t>
      </w:r>
    </w:p>
    <w:p w:rsidRPr="00E706EA" w:rsidR="00AF6B85" w:rsidP="00AF6B85" w:rsidRDefault="00AF6B85" w14:paraId="3BDC4E5E" w14:textId="7C431C20">
      <w:pPr>
        <w:numPr>
          <w:ilvl w:val="0"/>
          <w:numId w:val="36"/>
        </w:numPr>
        <w:spacing w:after="0" w:line="240" w:lineRule="auto"/>
      </w:pPr>
      <w:r w:rsidRPr="00E706EA">
        <w:t>Major Project</w:t>
      </w:r>
      <w:r w:rsidR="003B6C71">
        <w:t xml:space="preserve"> (</w:t>
      </w:r>
      <w:r w:rsidR="001821EF">
        <w:t>46 – 48</w:t>
      </w:r>
      <w:r w:rsidR="003B6C71">
        <w:t xml:space="preserve"> weeks) </w:t>
      </w:r>
    </w:p>
    <w:p w:rsidRPr="00E706EA" w:rsidR="00AF6B85" w:rsidP="00AF6B85" w:rsidRDefault="00AF6B85" w14:paraId="0DB72FE3" w14:textId="77777777">
      <w:pPr>
        <w:numPr>
          <w:ilvl w:val="1"/>
          <w:numId w:val="36"/>
        </w:numPr>
        <w:spacing w:after="0" w:line="240" w:lineRule="auto"/>
      </w:pPr>
      <w:r w:rsidRPr="00E706EA">
        <w:t xml:space="preserve">Complete a clinical, economic, or humanistic outcomes analysis project </w:t>
      </w:r>
    </w:p>
    <w:p w:rsidRPr="00255783" w:rsidR="00255783" w:rsidP="00255783" w:rsidRDefault="00255783" w14:paraId="50D4A1C1" w14:textId="34DAC28B">
      <w:pPr>
        <w:numPr>
          <w:ilvl w:val="1"/>
          <w:numId w:val="36"/>
        </w:numPr>
        <w:spacing w:after="120" w:line="240" w:lineRule="auto"/>
        <w:rPr>
          <w:b/>
        </w:rPr>
      </w:pPr>
      <w:r>
        <w:t>Complete manuscript for project</w:t>
      </w:r>
    </w:p>
    <w:p w:rsidRPr="00EE7426" w:rsidR="00682461" w:rsidP="00A949D4" w:rsidRDefault="00682461" w14:paraId="32728803" w14:textId="77777777">
      <w:pPr>
        <w:numPr>
          <w:ilvl w:val="0"/>
          <w:numId w:val="36"/>
        </w:numPr>
        <w:spacing w:after="0" w:line="240" w:lineRule="auto"/>
        <w:rPr>
          <w:b/>
        </w:rPr>
      </w:pPr>
      <w:r>
        <w:t>Medication Safety (46-48 weeks)</w:t>
      </w:r>
    </w:p>
    <w:p w:rsidRPr="00682461" w:rsidR="00682461" w:rsidP="00682461" w:rsidRDefault="00682461" w14:paraId="5E82E1E8" w14:textId="26BC1D9F">
      <w:pPr>
        <w:numPr>
          <w:ilvl w:val="1"/>
          <w:numId w:val="36"/>
        </w:numPr>
        <w:spacing w:after="0" w:line="240" w:lineRule="auto"/>
        <w:rPr>
          <w:b/>
        </w:rPr>
      </w:pPr>
      <w:r>
        <w:t>Review consults in response to unusual occurrences related to medications and/or vaccines</w:t>
      </w:r>
    </w:p>
    <w:p w:rsidR="00183312" w:rsidP="00183312" w:rsidRDefault="00183312" w14:paraId="7F0543C5" w14:textId="77777777">
      <w:pPr>
        <w:spacing w:after="0" w:line="240" w:lineRule="auto"/>
        <w:ind w:left="1800"/>
        <w:rPr>
          <w:b/>
        </w:rPr>
      </w:pPr>
    </w:p>
    <w:p w:rsidR="00DE583A" w:rsidP="00183312" w:rsidRDefault="00DE583A" w14:paraId="03713114" w14:textId="476879AF">
      <w:pPr>
        <w:spacing w:after="0" w:line="240" w:lineRule="auto"/>
        <w:ind w:left="1800"/>
        <w:rPr>
          <w:b/>
        </w:rPr>
      </w:pPr>
    </w:p>
    <w:p w:rsidRPr="00183312" w:rsidR="00DE583A" w:rsidP="00183312" w:rsidRDefault="00DE583A" w14:paraId="4DD03405" w14:textId="77777777">
      <w:pPr>
        <w:spacing w:after="0" w:line="240" w:lineRule="auto"/>
        <w:ind w:left="1800"/>
        <w:rPr>
          <w:b/>
        </w:rPr>
      </w:pPr>
    </w:p>
    <w:p w:rsidRPr="00A949D4" w:rsidR="00E477EA" w:rsidP="00183312" w:rsidRDefault="00C54EC9" w14:paraId="0805D5BB" w14:textId="0EB94EF1">
      <w:pPr>
        <w:spacing w:after="0" w:line="240" w:lineRule="auto"/>
      </w:pPr>
      <w:r w:rsidRPr="00183312">
        <w:rPr>
          <w:b/>
        </w:rPr>
        <w:t>Non-</w:t>
      </w:r>
      <w:r w:rsidRPr="00183312" w:rsidR="00262326">
        <w:rPr>
          <w:b/>
        </w:rPr>
        <w:t>L</w:t>
      </w:r>
      <w:r w:rsidRPr="00183312">
        <w:rPr>
          <w:b/>
        </w:rPr>
        <w:t>ongitudinal</w:t>
      </w:r>
      <w:r w:rsidRPr="00183312" w:rsidR="00262326">
        <w:rPr>
          <w:b/>
        </w:rPr>
        <w:t xml:space="preserve"> Learning E</w:t>
      </w:r>
      <w:r w:rsidRPr="00183312">
        <w:rPr>
          <w:b/>
        </w:rPr>
        <w:t>xperiences</w:t>
      </w:r>
    </w:p>
    <w:p w:rsidR="00E477EA" w:rsidP="00F82DCD" w:rsidRDefault="00C54EC9" w14:paraId="62E50F78" w14:textId="362FF8D4">
      <w:pPr>
        <w:spacing w:after="0"/>
      </w:pPr>
      <w:r w:rsidRPr="00C54EC9">
        <w:t xml:space="preserve">The resident will complete non-longitudinal experiences outside of the core rotations. Geriatrics </w:t>
      </w:r>
      <w:r w:rsidR="00262326">
        <w:t>(</w:t>
      </w:r>
      <w:r w:rsidR="00A12D27">
        <w:t xml:space="preserve">PMG </w:t>
      </w:r>
      <w:r w:rsidR="00262326">
        <w:t xml:space="preserve">at Home) </w:t>
      </w:r>
      <w:r w:rsidRPr="00C54EC9">
        <w:t>and endocrinology are required rotations</w:t>
      </w:r>
      <w:r w:rsidR="00A12D27">
        <w:t>*</w:t>
      </w:r>
      <w:r w:rsidRPr="00C54EC9">
        <w:t>; the resident will have flexibility to adjust other non-longitudinal experiences.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0"/>
        <w:gridCol w:w="3240"/>
        <w:gridCol w:w="2420"/>
      </w:tblGrid>
      <w:tr w:rsidR="00A12D27" w:rsidTr="0074517A" w14:paraId="090AC341" w14:textId="77777777">
        <w:tc>
          <w:tcPr>
            <w:tcW w:w="4410" w:type="dxa"/>
          </w:tcPr>
          <w:p w:rsidR="00A12D27" w:rsidP="00F82DCD" w:rsidRDefault="00A12D27" w14:paraId="69DD1169" w14:textId="65962397">
            <w:r>
              <w:t>Geriatrics (4 weeks PMG at Home)*</w:t>
            </w:r>
          </w:p>
        </w:tc>
        <w:tc>
          <w:tcPr>
            <w:tcW w:w="3240" w:type="dxa"/>
          </w:tcPr>
          <w:p w:rsidR="00A12D27" w:rsidP="00F82DCD" w:rsidRDefault="00A12D27" w14:paraId="60F1E227" w14:textId="37948FCB">
            <w:r>
              <w:t>Endocrinology*</w:t>
            </w:r>
          </w:p>
        </w:tc>
        <w:tc>
          <w:tcPr>
            <w:tcW w:w="2420" w:type="dxa"/>
          </w:tcPr>
          <w:p w:rsidR="00A12D27" w:rsidP="00F82DCD" w:rsidRDefault="00A12D27" w14:paraId="3A7DD96B" w14:textId="1574A96E">
            <w:r>
              <w:t>Anticoagulation^</w:t>
            </w:r>
          </w:p>
        </w:tc>
      </w:tr>
      <w:tr w:rsidR="00A12D27" w:rsidTr="0074517A" w14:paraId="3082F2FB" w14:textId="77777777">
        <w:tc>
          <w:tcPr>
            <w:tcW w:w="4410" w:type="dxa"/>
          </w:tcPr>
          <w:p w:rsidR="00A12D27" w:rsidP="00F82DCD" w:rsidRDefault="00A12D27" w14:paraId="7CF13EDF" w14:textId="08802324">
            <w:r>
              <w:t>Global Health</w:t>
            </w:r>
          </w:p>
        </w:tc>
        <w:tc>
          <w:tcPr>
            <w:tcW w:w="3240" w:type="dxa"/>
          </w:tcPr>
          <w:p w:rsidR="00A12D27" w:rsidP="00F82DCD" w:rsidRDefault="00A12D27" w14:paraId="4E05DBEF" w14:textId="595D2660">
            <w:r>
              <w:t>Academia*</w:t>
            </w:r>
          </w:p>
        </w:tc>
        <w:tc>
          <w:tcPr>
            <w:tcW w:w="2420" w:type="dxa"/>
          </w:tcPr>
          <w:p w:rsidR="00A12D27" w:rsidP="00F82DCD" w:rsidRDefault="00A12D27" w14:paraId="51D34174" w14:textId="77777777"/>
        </w:tc>
      </w:tr>
    </w:tbl>
    <w:p w:rsidR="00183312" w:rsidP="00A12D27" w:rsidRDefault="00183312" w14:paraId="4031D898" w14:textId="13D2839C">
      <w:pPr>
        <w:spacing w:after="0"/>
        <w:rPr>
          <w:b/>
        </w:rPr>
      </w:pPr>
    </w:p>
    <w:p w:rsidR="0047319D" w:rsidP="00C54EC9" w:rsidRDefault="0047319D" w14:paraId="68B555E8" w14:textId="1787E67D">
      <w:pPr>
        <w:spacing w:after="0"/>
        <w:rPr>
          <w:b/>
        </w:rPr>
      </w:pPr>
      <w:r>
        <w:rPr>
          <w:b/>
        </w:rPr>
        <w:t>Example Residency Year Layout:</w:t>
      </w:r>
    </w:p>
    <w:tbl>
      <w:tblPr>
        <w:tblStyle w:val="TableGrid"/>
        <w:tblW w:w="10692" w:type="dxa"/>
        <w:tblLayout w:type="fixed"/>
        <w:tblLook w:val="04A0" w:firstRow="1" w:lastRow="0" w:firstColumn="1" w:lastColumn="0" w:noHBand="0" w:noVBand="1"/>
      </w:tblPr>
      <w:tblGrid>
        <w:gridCol w:w="2322"/>
        <w:gridCol w:w="697"/>
        <w:gridCol w:w="698"/>
        <w:gridCol w:w="697"/>
        <w:gridCol w:w="698"/>
        <w:gridCol w:w="697"/>
        <w:gridCol w:w="698"/>
        <w:gridCol w:w="697"/>
        <w:gridCol w:w="698"/>
        <w:gridCol w:w="697"/>
        <w:gridCol w:w="698"/>
        <w:gridCol w:w="697"/>
        <w:gridCol w:w="698"/>
      </w:tblGrid>
      <w:tr w:rsidR="00183312" w:rsidDel="0034583B" w:rsidTr="00183312" w14:paraId="230CB523" w14:textId="77777777">
        <w:trPr>
          <w:trHeight w:val="432"/>
        </w:trPr>
        <w:tc>
          <w:tcPr>
            <w:tcW w:w="2322" w:type="dxa"/>
            <w:shd w:val="clear" w:color="auto" w:fill="D9D9D9" w:themeFill="background1" w:themeFillShade="D9"/>
          </w:tcPr>
          <w:p w:rsidRPr="0023235C" w:rsidR="00183312" w:rsidDel="0034583B" w:rsidP="00183312" w:rsidRDefault="00183312" w14:paraId="534F104A" w14:textId="77777777">
            <w:pPr>
              <w:rPr>
                <w:b/>
              </w:rPr>
            </w:pPr>
            <w:r w:rsidRPr="0023235C" w:rsidDel="0034583B">
              <w:rPr>
                <w:b/>
              </w:rPr>
              <w:t>Learning Experience</w:t>
            </w:r>
          </w:p>
        </w:tc>
        <w:tc>
          <w:tcPr>
            <w:tcW w:w="697" w:type="dxa"/>
            <w:shd w:val="clear" w:color="auto" w:fill="D9D9D9" w:themeFill="background1" w:themeFillShade="D9"/>
          </w:tcPr>
          <w:p w:rsidRPr="00D2370D" w:rsidR="00183312" w:rsidDel="0034583B" w:rsidP="00183312" w:rsidRDefault="00183312" w14:paraId="1B30D541" w14:textId="77777777">
            <w:pPr>
              <w:jc w:val="center"/>
              <w:rPr>
                <w:b/>
                <w:sz w:val="18"/>
                <w:szCs w:val="18"/>
              </w:rPr>
            </w:pPr>
            <w:r w:rsidRPr="00D2370D" w:rsidDel="0034583B">
              <w:rPr>
                <w:b/>
                <w:sz w:val="18"/>
                <w:szCs w:val="18"/>
              </w:rPr>
              <w:t>July</w:t>
            </w:r>
          </w:p>
        </w:tc>
        <w:tc>
          <w:tcPr>
            <w:tcW w:w="698" w:type="dxa"/>
            <w:shd w:val="clear" w:color="auto" w:fill="D9D9D9" w:themeFill="background1" w:themeFillShade="D9"/>
          </w:tcPr>
          <w:p w:rsidRPr="00D2370D" w:rsidR="00183312" w:rsidDel="0034583B" w:rsidP="00183312" w:rsidRDefault="00183312" w14:paraId="3B71E772" w14:textId="77777777">
            <w:pPr>
              <w:jc w:val="center"/>
              <w:rPr>
                <w:b/>
                <w:sz w:val="18"/>
                <w:szCs w:val="18"/>
              </w:rPr>
            </w:pPr>
            <w:r w:rsidDel="0034583B">
              <w:rPr>
                <w:b/>
                <w:sz w:val="18"/>
                <w:szCs w:val="18"/>
              </w:rPr>
              <w:t>Aug</w:t>
            </w:r>
          </w:p>
        </w:tc>
        <w:tc>
          <w:tcPr>
            <w:tcW w:w="697" w:type="dxa"/>
            <w:shd w:val="clear" w:color="auto" w:fill="D9D9D9" w:themeFill="background1" w:themeFillShade="D9"/>
          </w:tcPr>
          <w:p w:rsidRPr="00D2370D" w:rsidR="00183312" w:rsidDel="0034583B" w:rsidP="00183312" w:rsidRDefault="00183312" w14:paraId="1BC8C92C" w14:textId="77777777">
            <w:pPr>
              <w:jc w:val="center"/>
              <w:rPr>
                <w:b/>
                <w:sz w:val="18"/>
                <w:szCs w:val="18"/>
              </w:rPr>
            </w:pPr>
            <w:r w:rsidDel="0034583B">
              <w:rPr>
                <w:b/>
                <w:sz w:val="18"/>
                <w:szCs w:val="18"/>
              </w:rPr>
              <w:t>Sept</w:t>
            </w:r>
          </w:p>
        </w:tc>
        <w:tc>
          <w:tcPr>
            <w:tcW w:w="698" w:type="dxa"/>
            <w:shd w:val="clear" w:color="auto" w:fill="D9D9D9" w:themeFill="background1" w:themeFillShade="D9"/>
          </w:tcPr>
          <w:p w:rsidRPr="00D2370D" w:rsidR="00183312" w:rsidDel="0034583B" w:rsidP="00183312" w:rsidRDefault="00183312" w14:paraId="00DA5EC7" w14:textId="77777777">
            <w:pPr>
              <w:jc w:val="center"/>
              <w:rPr>
                <w:b/>
                <w:sz w:val="18"/>
                <w:szCs w:val="18"/>
              </w:rPr>
            </w:pPr>
            <w:r w:rsidDel="0034583B">
              <w:rPr>
                <w:b/>
                <w:sz w:val="18"/>
                <w:szCs w:val="18"/>
              </w:rPr>
              <w:t>Oct</w:t>
            </w:r>
          </w:p>
        </w:tc>
        <w:tc>
          <w:tcPr>
            <w:tcW w:w="697" w:type="dxa"/>
            <w:shd w:val="clear" w:color="auto" w:fill="D9D9D9" w:themeFill="background1" w:themeFillShade="D9"/>
          </w:tcPr>
          <w:p w:rsidRPr="00D2370D" w:rsidR="00183312" w:rsidDel="0034583B" w:rsidP="00183312" w:rsidRDefault="00183312" w14:paraId="547297D6" w14:textId="77777777">
            <w:pPr>
              <w:jc w:val="center"/>
              <w:rPr>
                <w:b/>
                <w:sz w:val="18"/>
                <w:szCs w:val="18"/>
              </w:rPr>
            </w:pPr>
            <w:r w:rsidDel="0034583B">
              <w:rPr>
                <w:b/>
                <w:sz w:val="18"/>
                <w:szCs w:val="18"/>
              </w:rPr>
              <w:t>Nov</w:t>
            </w:r>
          </w:p>
        </w:tc>
        <w:tc>
          <w:tcPr>
            <w:tcW w:w="698" w:type="dxa"/>
            <w:shd w:val="clear" w:color="auto" w:fill="D9D9D9" w:themeFill="background1" w:themeFillShade="D9"/>
          </w:tcPr>
          <w:p w:rsidRPr="00D2370D" w:rsidR="00183312" w:rsidDel="0034583B" w:rsidP="00183312" w:rsidRDefault="00183312" w14:paraId="4B37D8A4" w14:textId="77777777">
            <w:pPr>
              <w:jc w:val="center"/>
              <w:rPr>
                <w:b/>
                <w:sz w:val="18"/>
                <w:szCs w:val="18"/>
              </w:rPr>
            </w:pPr>
            <w:r w:rsidDel="0034583B">
              <w:rPr>
                <w:b/>
                <w:sz w:val="18"/>
                <w:szCs w:val="18"/>
              </w:rPr>
              <w:t>Dec</w:t>
            </w:r>
          </w:p>
        </w:tc>
        <w:tc>
          <w:tcPr>
            <w:tcW w:w="697" w:type="dxa"/>
            <w:shd w:val="clear" w:color="auto" w:fill="D9D9D9" w:themeFill="background1" w:themeFillShade="D9"/>
          </w:tcPr>
          <w:p w:rsidRPr="00D2370D" w:rsidR="00183312" w:rsidDel="0034583B" w:rsidP="00183312" w:rsidRDefault="00183312" w14:paraId="387EE019" w14:textId="77777777">
            <w:pPr>
              <w:jc w:val="center"/>
              <w:rPr>
                <w:b/>
                <w:sz w:val="18"/>
                <w:szCs w:val="18"/>
              </w:rPr>
            </w:pPr>
            <w:r w:rsidDel="0034583B">
              <w:rPr>
                <w:b/>
                <w:sz w:val="18"/>
                <w:szCs w:val="18"/>
              </w:rPr>
              <w:t>Jan</w:t>
            </w:r>
          </w:p>
        </w:tc>
        <w:tc>
          <w:tcPr>
            <w:tcW w:w="698" w:type="dxa"/>
            <w:shd w:val="clear" w:color="auto" w:fill="D9D9D9" w:themeFill="background1" w:themeFillShade="D9"/>
          </w:tcPr>
          <w:p w:rsidRPr="00D2370D" w:rsidR="00183312" w:rsidDel="0034583B" w:rsidP="00183312" w:rsidRDefault="00183312" w14:paraId="7667F4B9" w14:textId="77777777">
            <w:pPr>
              <w:jc w:val="center"/>
              <w:rPr>
                <w:b/>
                <w:sz w:val="18"/>
                <w:szCs w:val="18"/>
              </w:rPr>
            </w:pPr>
            <w:r w:rsidDel="0034583B">
              <w:rPr>
                <w:b/>
                <w:sz w:val="18"/>
                <w:szCs w:val="18"/>
              </w:rPr>
              <w:t>Feb</w:t>
            </w:r>
          </w:p>
        </w:tc>
        <w:tc>
          <w:tcPr>
            <w:tcW w:w="697" w:type="dxa"/>
            <w:shd w:val="clear" w:color="auto" w:fill="D9D9D9" w:themeFill="background1" w:themeFillShade="D9"/>
          </w:tcPr>
          <w:p w:rsidRPr="00D2370D" w:rsidR="00183312" w:rsidDel="0034583B" w:rsidP="00183312" w:rsidRDefault="00183312" w14:paraId="0D244EA7" w14:textId="77777777">
            <w:pPr>
              <w:jc w:val="center"/>
              <w:rPr>
                <w:b/>
                <w:sz w:val="18"/>
                <w:szCs w:val="18"/>
              </w:rPr>
            </w:pPr>
            <w:r w:rsidDel="0034583B">
              <w:rPr>
                <w:b/>
                <w:sz w:val="18"/>
                <w:szCs w:val="18"/>
              </w:rPr>
              <w:t>Mar</w:t>
            </w:r>
          </w:p>
        </w:tc>
        <w:tc>
          <w:tcPr>
            <w:tcW w:w="698" w:type="dxa"/>
            <w:shd w:val="clear" w:color="auto" w:fill="D9D9D9" w:themeFill="background1" w:themeFillShade="D9"/>
          </w:tcPr>
          <w:p w:rsidRPr="00D2370D" w:rsidR="00183312" w:rsidDel="0034583B" w:rsidP="00183312" w:rsidRDefault="00183312" w14:paraId="44EA1072" w14:textId="77777777">
            <w:pPr>
              <w:jc w:val="center"/>
              <w:rPr>
                <w:b/>
                <w:sz w:val="18"/>
                <w:szCs w:val="18"/>
              </w:rPr>
            </w:pPr>
            <w:r w:rsidDel="0034583B">
              <w:rPr>
                <w:b/>
                <w:sz w:val="18"/>
                <w:szCs w:val="18"/>
              </w:rPr>
              <w:t>Apr</w:t>
            </w:r>
          </w:p>
        </w:tc>
        <w:tc>
          <w:tcPr>
            <w:tcW w:w="697" w:type="dxa"/>
            <w:shd w:val="clear" w:color="auto" w:fill="D9D9D9" w:themeFill="background1" w:themeFillShade="D9"/>
          </w:tcPr>
          <w:p w:rsidRPr="00D2370D" w:rsidR="00183312" w:rsidDel="0034583B" w:rsidP="00183312" w:rsidRDefault="00183312" w14:paraId="6285AC98" w14:textId="77777777">
            <w:pPr>
              <w:jc w:val="center"/>
              <w:rPr>
                <w:b/>
                <w:sz w:val="18"/>
                <w:szCs w:val="18"/>
              </w:rPr>
            </w:pPr>
            <w:r w:rsidRPr="00D2370D" w:rsidDel="0034583B">
              <w:rPr>
                <w:b/>
                <w:sz w:val="18"/>
                <w:szCs w:val="18"/>
              </w:rPr>
              <w:t>May</w:t>
            </w:r>
          </w:p>
        </w:tc>
        <w:tc>
          <w:tcPr>
            <w:tcW w:w="698" w:type="dxa"/>
            <w:shd w:val="clear" w:color="auto" w:fill="D9D9D9" w:themeFill="background1" w:themeFillShade="D9"/>
          </w:tcPr>
          <w:p w:rsidRPr="00D2370D" w:rsidR="00183312" w:rsidDel="0034583B" w:rsidP="00183312" w:rsidRDefault="00183312" w14:paraId="3D3B327D" w14:textId="77777777">
            <w:pPr>
              <w:jc w:val="center"/>
              <w:rPr>
                <w:b/>
                <w:sz w:val="18"/>
                <w:szCs w:val="18"/>
              </w:rPr>
            </w:pPr>
            <w:r w:rsidRPr="00D2370D" w:rsidDel="0034583B">
              <w:rPr>
                <w:b/>
                <w:sz w:val="18"/>
                <w:szCs w:val="18"/>
              </w:rPr>
              <w:t>June</w:t>
            </w:r>
          </w:p>
        </w:tc>
      </w:tr>
      <w:tr w:rsidR="00183312" w:rsidDel="0034583B" w:rsidTr="00183312" w14:paraId="76E4039F" w14:textId="77777777">
        <w:trPr>
          <w:trHeight w:val="288"/>
        </w:trPr>
        <w:tc>
          <w:tcPr>
            <w:tcW w:w="2322" w:type="dxa"/>
          </w:tcPr>
          <w:p w:rsidRPr="00D2370D" w:rsidR="00183312" w:rsidDel="0034583B" w:rsidP="00183312" w:rsidRDefault="00183312" w14:paraId="398DBD62" w14:textId="77777777">
            <w:pPr>
              <w:rPr>
                <w:b/>
              </w:rPr>
            </w:pPr>
            <w:r w:rsidRPr="00D2370D" w:rsidDel="0034583B">
              <w:rPr>
                <w:b/>
              </w:rPr>
              <w:t>Orientation</w:t>
            </w:r>
          </w:p>
        </w:tc>
        <w:tc>
          <w:tcPr>
            <w:tcW w:w="697" w:type="dxa"/>
            <w:shd w:val="clear" w:color="auto" w:fill="C0504D" w:themeFill="accent2"/>
          </w:tcPr>
          <w:p w:rsidRPr="00D2370D" w:rsidR="00183312" w:rsidDel="0034583B" w:rsidP="00183312" w:rsidRDefault="00183312" w14:paraId="0DA71EE3" w14:textId="77777777">
            <w:pPr>
              <w:jc w:val="center"/>
              <w:rPr>
                <w:b/>
              </w:rPr>
            </w:pPr>
          </w:p>
        </w:tc>
        <w:tc>
          <w:tcPr>
            <w:tcW w:w="698" w:type="dxa"/>
            <w:tcBorders>
              <w:bottom w:val="single" w:color="auto" w:sz="4" w:space="0"/>
            </w:tcBorders>
          </w:tcPr>
          <w:p w:rsidRPr="00D2370D" w:rsidR="00183312" w:rsidDel="0034583B" w:rsidP="00183312" w:rsidRDefault="00183312" w14:paraId="5F58AC7A" w14:textId="77777777">
            <w:pPr>
              <w:jc w:val="center"/>
              <w:rPr>
                <w:b/>
              </w:rPr>
            </w:pPr>
          </w:p>
        </w:tc>
        <w:tc>
          <w:tcPr>
            <w:tcW w:w="697" w:type="dxa"/>
            <w:tcBorders>
              <w:bottom w:val="single" w:color="auto" w:sz="4" w:space="0"/>
            </w:tcBorders>
          </w:tcPr>
          <w:p w:rsidRPr="00D2370D" w:rsidR="00183312" w:rsidDel="0034583B" w:rsidP="00183312" w:rsidRDefault="00183312" w14:paraId="67DD9F22" w14:textId="77777777">
            <w:pPr>
              <w:jc w:val="center"/>
              <w:rPr>
                <w:b/>
              </w:rPr>
            </w:pPr>
          </w:p>
        </w:tc>
        <w:tc>
          <w:tcPr>
            <w:tcW w:w="698" w:type="dxa"/>
          </w:tcPr>
          <w:p w:rsidRPr="00D2370D" w:rsidR="00183312" w:rsidDel="0034583B" w:rsidP="00183312" w:rsidRDefault="00183312" w14:paraId="3C2EBAE3" w14:textId="77777777">
            <w:pPr>
              <w:jc w:val="center"/>
              <w:rPr>
                <w:b/>
              </w:rPr>
            </w:pPr>
          </w:p>
        </w:tc>
        <w:tc>
          <w:tcPr>
            <w:tcW w:w="697" w:type="dxa"/>
          </w:tcPr>
          <w:p w:rsidRPr="00D2370D" w:rsidR="00183312" w:rsidDel="0034583B" w:rsidP="00183312" w:rsidRDefault="00183312" w14:paraId="67C460A4" w14:textId="77777777">
            <w:pPr>
              <w:jc w:val="center"/>
              <w:rPr>
                <w:b/>
              </w:rPr>
            </w:pPr>
          </w:p>
        </w:tc>
        <w:tc>
          <w:tcPr>
            <w:tcW w:w="698" w:type="dxa"/>
          </w:tcPr>
          <w:p w:rsidRPr="00D2370D" w:rsidR="00183312" w:rsidDel="0034583B" w:rsidP="00183312" w:rsidRDefault="00183312" w14:paraId="73BC6D09" w14:textId="77777777">
            <w:pPr>
              <w:jc w:val="center"/>
              <w:rPr>
                <w:b/>
              </w:rPr>
            </w:pPr>
          </w:p>
        </w:tc>
        <w:tc>
          <w:tcPr>
            <w:tcW w:w="697" w:type="dxa"/>
          </w:tcPr>
          <w:p w:rsidRPr="00D2370D" w:rsidR="00183312" w:rsidDel="0034583B" w:rsidP="00183312" w:rsidRDefault="00183312" w14:paraId="1EAFDCF8" w14:textId="77777777">
            <w:pPr>
              <w:jc w:val="center"/>
              <w:rPr>
                <w:b/>
              </w:rPr>
            </w:pPr>
          </w:p>
        </w:tc>
        <w:tc>
          <w:tcPr>
            <w:tcW w:w="698" w:type="dxa"/>
          </w:tcPr>
          <w:p w:rsidRPr="00D2370D" w:rsidR="00183312" w:rsidDel="0034583B" w:rsidP="00183312" w:rsidRDefault="00183312" w14:paraId="5BBCE2BE" w14:textId="77777777">
            <w:pPr>
              <w:jc w:val="center"/>
              <w:rPr>
                <w:b/>
              </w:rPr>
            </w:pPr>
          </w:p>
        </w:tc>
        <w:tc>
          <w:tcPr>
            <w:tcW w:w="697" w:type="dxa"/>
          </w:tcPr>
          <w:p w:rsidRPr="00D2370D" w:rsidR="00183312" w:rsidDel="0034583B" w:rsidP="00183312" w:rsidRDefault="00183312" w14:paraId="78538C41" w14:textId="77777777">
            <w:pPr>
              <w:jc w:val="center"/>
              <w:rPr>
                <w:b/>
              </w:rPr>
            </w:pPr>
          </w:p>
        </w:tc>
        <w:tc>
          <w:tcPr>
            <w:tcW w:w="698" w:type="dxa"/>
          </w:tcPr>
          <w:p w:rsidRPr="00D2370D" w:rsidR="00183312" w:rsidDel="0034583B" w:rsidP="00183312" w:rsidRDefault="00183312" w14:paraId="383895C5" w14:textId="77777777">
            <w:pPr>
              <w:jc w:val="center"/>
              <w:rPr>
                <w:b/>
              </w:rPr>
            </w:pPr>
          </w:p>
        </w:tc>
        <w:tc>
          <w:tcPr>
            <w:tcW w:w="697" w:type="dxa"/>
          </w:tcPr>
          <w:p w:rsidRPr="00D2370D" w:rsidR="00183312" w:rsidDel="0034583B" w:rsidP="00183312" w:rsidRDefault="00183312" w14:paraId="6DD67FA7" w14:textId="77777777">
            <w:pPr>
              <w:jc w:val="center"/>
              <w:rPr>
                <w:b/>
              </w:rPr>
            </w:pPr>
          </w:p>
        </w:tc>
        <w:tc>
          <w:tcPr>
            <w:tcW w:w="698" w:type="dxa"/>
          </w:tcPr>
          <w:p w:rsidRPr="00D2370D" w:rsidR="00183312" w:rsidDel="0034583B" w:rsidP="00183312" w:rsidRDefault="00183312" w14:paraId="58EC28BF" w14:textId="77777777">
            <w:pPr>
              <w:jc w:val="center"/>
              <w:rPr>
                <w:b/>
              </w:rPr>
            </w:pPr>
          </w:p>
        </w:tc>
      </w:tr>
      <w:tr w:rsidR="00183312" w:rsidDel="0034583B" w:rsidTr="00183312" w14:paraId="07D214FC" w14:textId="77777777">
        <w:trPr>
          <w:trHeight w:val="288"/>
        </w:trPr>
        <w:tc>
          <w:tcPr>
            <w:tcW w:w="2322" w:type="dxa"/>
          </w:tcPr>
          <w:p w:rsidRPr="00D2370D" w:rsidR="00183312" w:rsidDel="0034583B" w:rsidP="00183312" w:rsidRDefault="00183312" w14:paraId="246BDB9B" w14:textId="77777777">
            <w:pPr>
              <w:rPr>
                <w:b/>
              </w:rPr>
            </w:pPr>
            <w:r w:rsidRPr="00D2370D" w:rsidDel="0034583B">
              <w:rPr>
                <w:b/>
              </w:rPr>
              <w:t>Primary Care I</w:t>
            </w:r>
          </w:p>
        </w:tc>
        <w:tc>
          <w:tcPr>
            <w:tcW w:w="697" w:type="dxa"/>
          </w:tcPr>
          <w:p w:rsidR="00183312" w:rsidDel="0034583B" w:rsidP="00183312" w:rsidRDefault="00183312" w14:paraId="58D49210" w14:textId="77777777"/>
        </w:tc>
        <w:tc>
          <w:tcPr>
            <w:tcW w:w="698" w:type="dxa"/>
            <w:shd w:val="clear" w:color="auto" w:fill="9BBB59" w:themeFill="accent3"/>
          </w:tcPr>
          <w:p w:rsidR="00183312" w:rsidDel="0034583B" w:rsidP="00183312" w:rsidRDefault="00183312" w14:paraId="6DF457F6" w14:textId="77777777"/>
        </w:tc>
        <w:tc>
          <w:tcPr>
            <w:tcW w:w="697" w:type="dxa"/>
            <w:shd w:val="clear" w:color="auto" w:fill="9BBB59" w:themeFill="accent3"/>
          </w:tcPr>
          <w:p w:rsidR="00183312" w:rsidDel="0034583B" w:rsidP="00183312" w:rsidRDefault="00183312" w14:paraId="51DF64A3" w14:textId="77777777"/>
        </w:tc>
        <w:tc>
          <w:tcPr>
            <w:tcW w:w="698" w:type="dxa"/>
            <w:tcBorders>
              <w:bottom w:val="single" w:color="auto" w:sz="4" w:space="0"/>
            </w:tcBorders>
          </w:tcPr>
          <w:p w:rsidR="00183312" w:rsidDel="0034583B" w:rsidP="00183312" w:rsidRDefault="00183312" w14:paraId="0224AD31" w14:textId="77777777"/>
        </w:tc>
        <w:tc>
          <w:tcPr>
            <w:tcW w:w="697" w:type="dxa"/>
            <w:tcBorders>
              <w:bottom w:val="single" w:color="auto" w:sz="4" w:space="0"/>
            </w:tcBorders>
          </w:tcPr>
          <w:p w:rsidR="00183312" w:rsidDel="0034583B" w:rsidP="00183312" w:rsidRDefault="00183312" w14:paraId="5414DA76" w14:textId="77777777"/>
        </w:tc>
        <w:tc>
          <w:tcPr>
            <w:tcW w:w="698" w:type="dxa"/>
            <w:tcBorders>
              <w:bottom w:val="single" w:color="auto" w:sz="4" w:space="0"/>
            </w:tcBorders>
          </w:tcPr>
          <w:p w:rsidR="00183312" w:rsidDel="0034583B" w:rsidP="00183312" w:rsidRDefault="00183312" w14:paraId="3F0DBA69" w14:textId="77777777"/>
        </w:tc>
        <w:tc>
          <w:tcPr>
            <w:tcW w:w="697" w:type="dxa"/>
          </w:tcPr>
          <w:p w:rsidR="00183312" w:rsidDel="0034583B" w:rsidP="00183312" w:rsidRDefault="00183312" w14:paraId="0CB51AF3" w14:textId="77777777"/>
        </w:tc>
        <w:tc>
          <w:tcPr>
            <w:tcW w:w="698" w:type="dxa"/>
          </w:tcPr>
          <w:p w:rsidR="00183312" w:rsidDel="0034583B" w:rsidP="00183312" w:rsidRDefault="00183312" w14:paraId="1AD796B9" w14:textId="77777777"/>
        </w:tc>
        <w:tc>
          <w:tcPr>
            <w:tcW w:w="697" w:type="dxa"/>
          </w:tcPr>
          <w:p w:rsidR="00183312" w:rsidDel="0034583B" w:rsidP="00183312" w:rsidRDefault="00183312" w14:paraId="5BBE04C2" w14:textId="77777777"/>
        </w:tc>
        <w:tc>
          <w:tcPr>
            <w:tcW w:w="698" w:type="dxa"/>
          </w:tcPr>
          <w:p w:rsidR="00183312" w:rsidDel="0034583B" w:rsidP="00183312" w:rsidRDefault="00183312" w14:paraId="23C9603E" w14:textId="77777777"/>
        </w:tc>
        <w:tc>
          <w:tcPr>
            <w:tcW w:w="697" w:type="dxa"/>
          </w:tcPr>
          <w:p w:rsidR="00183312" w:rsidDel="0034583B" w:rsidP="00183312" w:rsidRDefault="00183312" w14:paraId="7F7DF539" w14:textId="77777777"/>
        </w:tc>
        <w:tc>
          <w:tcPr>
            <w:tcW w:w="698" w:type="dxa"/>
          </w:tcPr>
          <w:p w:rsidR="00183312" w:rsidDel="0034583B" w:rsidP="00183312" w:rsidRDefault="00183312" w14:paraId="1E358F95" w14:textId="77777777"/>
        </w:tc>
      </w:tr>
      <w:tr w:rsidR="00183312" w:rsidDel="0034583B" w:rsidTr="00183312" w14:paraId="766A3E06" w14:textId="77777777">
        <w:trPr>
          <w:trHeight w:val="288"/>
        </w:trPr>
        <w:tc>
          <w:tcPr>
            <w:tcW w:w="2322" w:type="dxa"/>
          </w:tcPr>
          <w:p w:rsidRPr="00D2370D" w:rsidR="00183312" w:rsidDel="0034583B" w:rsidP="00183312" w:rsidRDefault="00183312" w14:paraId="217BB076" w14:textId="77777777">
            <w:pPr>
              <w:rPr>
                <w:b/>
              </w:rPr>
            </w:pPr>
            <w:r w:rsidRPr="00D2370D" w:rsidDel="0034583B">
              <w:rPr>
                <w:b/>
              </w:rPr>
              <w:t>Primary Care II</w:t>
            </w:r>
          </w:p>
        </w:tc>
        <w:tc>
          <w:tcPr>
            <w:tcW w:w="697" w:type="dxa"/>
          </w:tcPr>
          <w:p w:rsidR="00183312" w:rsidDel="0034583B" w:rsidP="00183312" w:rsidRDefault="00183312" w14:paraId="212D5917" w14:textId="77777777"/>
        </w:tc>
        <w:tc>
          <w:tcPr>
            <w:tcW w:w="698" w:type="dxa"/>
          </w:tcPr>
          <w:p w:rsidR="00183312" w:rsidDel="0034583B" w:rsidP="00183312" w:rsidRDefault="00183312" w14:paraId="63BF8000" w14:textId="77777777"/>
        </w:tc>
        <w:tc>
          <w:tcPr>
            <w:tcW w:w="697" w:type="dxa"/>
          </w:tcPr>
          <w:p w:rsidR="00183312" w:rsidDel="0034583B" w:rsidP="00183312" w:rsidRDefault="00183312" w14:paraId="449E6621" w14:textId="77777777"/>
        </w:tc>
        <w:tc>
          <w:tcPr>
            <w:tcW w:w="698" w:type="dxa"/>
            <w:shd w:val="clear" w:color="auto" w:fill="8064A2" w:themeFill="accent4"/>
          </w:tcPr>
          <w:p w:rsidR="00183312" w:rsidDel="0034583B" w:rsidP="00183312" w:rsidRDefault="00183312" w14:paraId="0BC0C992" w14:textId="77777777"/>
        </w:tc>
        <w:tc>
          <w:tcPr>
            <w:tcW w:w="697" w:type="dxa"/>
            <w:shd w:val="clear" w:color="auto" w:fill="8064A2" w:themeFill="accent4"/>
          </w:tcPr>
          <w:p w:rsidR="00183312" w:rsidDel="0034583B" w:rsidP="00183312" w:rsidRDefault="00183312" w14:paraId="7E01A7BF" w14:textId="77777777"/>
        </w:tc>
        <w:tc>
          <w:tcPr>
            <w:tcW w:w="698" w:type="dxa"/>
            <w:shd w:val="clear" w:color="auto" w:fill="8064A2" w:themeFill="accent4"/>
          </w:tcPr>
          <w:p w:rsidR="00183312" w:rsidDel="0034583B" w:rsidP="00183312" w:rsidRDefault="00183312" w14:paraId="208D560E" w14:textId="77777777"/>
        </w:tc>
        <w:tc>
          <w:tcPr>
            <w:tcW w:w="697" w:type="dxa"/>
            <w:tcBorders>
              <w:bottom w:val="single" w:color="auto" w:sz="4" w:space="0"/>
            </w:tcBorders>
          </w:tcPr>
          <w:p w:rsidR="00183312" w:rsidDel="0034583B" w:rsidP="00183312" w:rsidRDefault="00183312" w14:paraId="692B20BD" w14:textId="77777777"/>
        </w:tc>
        <w:tc>
          <w:tcPr>
            <w:tcW w:w="698" w:type="dxa"/>
            <w:tcBorders>
              <w:bottom w:val="single" w:color="auto" w:sz="4" w:space="0"/>
            </w:tcBorders>
          </w:tcPr>
          <w:p w:rsidR="00183312" w:rsidDel="0034583B" w:rsidP="00183312" w:rsidRDefault="00183312" w14:paraId="3693E1B4" w14:textId="77777777"/>
        </w:tc>
        <w:tc>
          <w:tcPr>
            <w:tcW w:w="697" w:type="dxa"/>
            <w:tcBorders>
              <w:bottom w:val="single" w:color="auto" w:sz="4" w:space="0"/>
            </w:tcBorders>
          </w:tcPr>
          <w:p w:rsidR="00183312" w:rsidDel="0034583B" w:rsidP="00183312" w:rsidRDefault="00183312" w14:paraId="62469792" w14:textId="77777777"/>
        </w:tc>
        <w:tc>
          <w:tcPr>
            <w:tcW w:w="698" w:type="dxa"/>
          </w:tcPr>
          <w:p w:rsidR="00183312" w:rsidDel="0034583B" w:rsidP="00183312" w:rsidRDefault="00183312" w14:paraId="4931AC6E" w14:textId="77777777"/>
        </w:tc>
        <w:tc>
          <w:tcPr>
            <w:tcW w:w="697" w:type="dxa"/>
          </w:tcPr>
          <w:p w:rsidR="00183312" w:rsidDel="0034583B" w:rsidP="00183312" w:rsidRDefault="00183312" w14:paraId="11B0E37C" w14:textId="77777777"/>
        </w:tc>
        <w:tc>
          <w:tcPr>
            <w:tcW w:w="698" w:type="dxa"/>
          </w:tcPr>
          <w:p w:rsidR="00183312" w:rsidDel="0034583B" w:rsidP="00183312" w:rsidRDefault="00183312" w14:paraId="4A13D8A0" w14:textId="77777777"/>
        </w:tc>
      </w:tr>
      <w:tr w:rsidR="00183312" w:rsidDel="0034583B" w:rsidTr="00183312" w14:paraId="18368809" w14:textId="77777777">
        <w:trPr>
          <w:trHeight w:val="288"/>
        </w:trPr>
        <w:tc>
          <w:tcPr>
            <w:tcW w:w="2322" w:type="dxa"/>
          </w:tcPr>
          <w:p w:rsidRPr="00D2370D" w:rsidR="00183312" w:rsidDel="0034583B" w:rsidP="00183312" w:rsidRDefault="00183312" w14:paraId="64DA6C74" w14:textId="77777777">
            <w:pPr>
              <w:rPr>
                <w:b/>
              </w:rPr>
            </w:pPr>
            <w:r w:rsidRPr="00D2370D" w:rsidDel="0034583B">
              <w:rPr>
                <w:b/>
              </w:rPr>
              <w:t>Primary Care III</w:t>
            </w:r>
          </w:p>
        </w:tc>
        <w:tc>
          <w:tcPr>
            <w:tcW w:w="697" w:type="dxa"/>
          </w:tcPr>
          <w:p w:rsidR="00183312" w:rsidDel="0034583B" w:rsidP="00183312" w:rsidRDefault="00183312" w14:paraId="2A7F9D25" w14:textId="77777777"/>
        </w:tc>
        <w:tc>
          <w:tcPr>
            <w:tcW w:w="698" w:type="dxa"/>
          </w:tcPr>
          <w:p w:rsidR="00183312" w:rsidDel="0034583B" w:rsidP="00183312" w:rsidRDefault="00183312" w14:paraId="7CBC69B5" w14:textId="77777777"/>
        </w:tc>
        <w:tc>
          <w:tcPr>
            <w:tcW w:w="697" w:type="dxa"/>
          </w:tcPr>
          <w:p w:rsidR="00183312" w:rsidDel="0034583B" w:rsidP="00183312" w:rsidRDefault="00183312" w14:paraId="633039B7" w14:textId="77777777"/>
        </w:tc>
        <w:tc>
          <w:tcPr>
            <w:tcW w:w="698" w:type="dxa"/>
          </w:tcPr>
          <w:p w:rsidR="00183312" w:rsidDel="0034583B" w:rsidP="00183312" w:rsidRDefault="00183312" w14:paraId="4C231026" w14:textId="77777777"/>
        </w:tc>
        <w:tc>
          <w:tcPr>
            <w:tcW w:w="697" w:type="dxa"/>
          </w:tcPr>
          <w:p w:rsidR="00183312" w:rsidDel="0034583B" w:rsidP="00183312" w:rsidRDefault="00183312" w14:paraId="782F6681" w14:textId="77777777"/>
        </w:tc>
        <w:tc>
          <w:tcPr>
            <w:tcW w:w="698" w:type="dxa"/>
          </w:tcPr>
          <w:p w:rsidR="00183312" w:rsidDel="0034583B" w:rsidP="00183312" w:rsidRDefault="00183312" w14:paraId="4D7C67DC" w14:textId="77777777"/>
        </w:tc>
        <w:tc>
          <w:tcPr>
            <w:tcW w:w="697" w:type="dxa"/>
            <w:shd w:val="clear" w:color="auto" w:fill="4BACC6" w:themeFill="accent5"/>
          </w:tcPr>
          <w:p w:rsidR="00183312" w:rsidDel="0034583B" w:rsidP="00183312" w:rsidRDefault="00183312" w14:paraId="38A94CA5" w14:textId="77777777"/>
        </w:tc>
        <w:tc>
          <w:tcPr>
            <w:tcW w:w="698" w:type="dxa"/>
            <w:shd w:val="clear" w:color="auto" w:fill="4BACC6" w:themeFill="accent5"/>
          </w:tcPr>
          <w:p w:rsidR="00183312" w:rsidDel="0034583B" w:rsidP="00183312" w:rsidRDefault="00183312" w14:paraId="51EE3B18" w14:textId="77777777"/>
        </w:tc>
        <w:tc>
          <w:tcPr>
            <w:tcW w:w="697" w:type="dxa"/>
            <w:shd w:val="clear" w:color="auto" w:fill="4BACC6" w:themeFill="accent5"/>
          </w:tcPr>
          <w:p w:rsidR="00183312" w:rsidDel="0034583B" w:rsidP="00183312" w:rsidRDefault="00183312" w14:paraId="3B5DE9CD" w14:textId="77777777"/>
        </w:tc>
        <w:tc>
          <w:tcPr>
            <w:tcW w:w="698" w:type="dxa"/>
            <w:tcBorders>
              <w:bottom w:val="single" w:color="auto" w:sz="4" w:space="0"/>
            </w:tcBorders>
          </w:tcPr>
          <w:p w:rsidR="00183312" w:rsidDel="0034583B" w:rsidP="00183312" w:rsidRDefault="00183312" w14:paraId="1CDF2E66" w14:textId="77777777"/>
        </w:tc>
        <w:tc>
          <w:tcPr>
            <w:tcW w:w="697" w:type="dxa"/>
            <w:tcBorders>
              <w:bottom w:val="single" w:color="auto" w:sz="4" w:space="0"/>
            </w:tcBorders>
          </w:tcPr>
          <w:p w:rsidR="00183312" w:rsidDel="0034583B" w:rsidP="00183312" w:rsidRDefault="00183312" w14:paraId="3903B920" w14:textId="77777777"/>
        </w:tc>
        <w:tc>
          <w:tcPr>
            <w:tcW w:w="698" w:type="dxa"/>
            <w:tcBorders>
              <w:bottom w:val="single" w:color="auto" w:sz="4" w:space="0"/>
            </w:tcBorders>
          </w:tcPr>
          <w:p w:rsidR="00183312" w:rsidDel="0034583B" w:rsidP="00183312" w:rsidRDefault="00183312" w14:paraId="5EE1D1B2" w14:textId="77777777"/>
        </w:tc>
      </w:tr>
      <w:tr w:rsidR="00183312" w:rsidDel="0034583B" w:rsidTr="00183312" w14:paraId="7B6D0EE1" w14:textId="77777777">
        <w:trPr>
          <w:trHeight w:val="288"/>
        </w:trPr>
        <w:tc>
          <w:tcPr>
            <w:tcW w:w="2322" w:type="dxa"/>
          </w:tcPr>
          <w:p w:rsidRPr="00D2370D" w:rsidR="00183312" w:rsidDel="0034583B" w:rsidP="00183312" w:rsidRDefault="00183312" w14:paraId="7F0D8A19" w14:textId="77777777">
            <w:pPr>
              <w:rPr>
                <w:b/>
              </w:rPr>
            </w:pPr>
            <w:r w:rsidRPr="00D2370D" w:rsidDel="0034583B">
              <w:rPr>
                <w:b/>
              </w:rPr>
              <w:t>Primary Care IV</w:t>
            </w:r>
          </w:p>
        </w:tc>
        <w:tc>
          <w:tcPr>
            <w:tcW w:w="697" w:type="dxa"/>
            <w:tcBorders>
              <w:bottom w:val="single" w:color="auto" w:sz="4" w:space="0"/>
            </w:tcBorders>
          </w:tcPr>
          <w:p w:rsidR="00183312" w:rsidDel="0034583B" w:rsidP="00183312" w:rsidRDefault="00183312" w14:paraId="4577D033" w14:textId="77777777"/>
        </w:tc>
        <w:tc>
          <w:tcPr>
            <w:tcW w:w="698" w:type="dxa"/>
            <w:tcBorders>
              <w:bottom w:val="single" w:color="auto" w:sz="4" w:space="0"/>
            </w:tcBorders>
          </w:tcPr>
          <w:p w:rsidR="00183312" w:rsidDel="0034583B" w:rsidP="00183312" w:rsidRDefault="00183312" w14:paraId="207B1CC1" w14:textId="77777777"/>
        </w:tc>
        <w:tc>
          <w:tcPr>
            <w:tcW w:w="697" w:type="dxa"/>
            <w:tcBorders>
              <w:bottom w:val="single" w:color="auto" w:sz="4" w:space="0"/>
            </w:tcBorders>
          </w:tcPr>
          <w:p w:rsidR="00183312" w:rsidDel="0034583B" w:rsidP="00183312" w:rsidRDefault="00183312" w14:paraId="2E0AE4FE" w14:textId="77777777"/>
        </w:tc>
        <w:tc>
          <w:tcPr>
            <w:tcW w:w="698" w:type="dxa"/>
            <w:tcBorders>
              <w:bottom w:val="single" w:color="auto" w:sz="4" w:space="0"/>
            </w:tcBorders>
          </w:tcPr>
          <w:p w:rsidR="00183312" w:rsidDel="0034583B" w:rsidP="00183312" w:rsidRDefault="00183312" w14:paraId="72FFA5AF" w14:textId="77777777"/>
        </w:tc>
        <w:tc>
          <w:tcPr>
            <w:tcW w:w="697" w:type="dxa"/>
            <w:tcBorders>
              <w:bottom w:val="single" w:color="auto" w:sz="4" w:space="0"/>
            </w:tcBorders>
          </w:tcPr>
          <w:p w:rsidR="00183312" w:rsidDel="0034583B" w:rsidP="00183312" w:rsidRDefault="00183312" w14:paraId="54841A5E" w14:textId="77777777"/>
        </w:tc>
        <w:tc>
          <w:tcPr>
            <w:tcW w:w="698" w:type="dxa"/>
            <w:tcBorders>
              <w:bottom w:val="single" w:color="auto" w:sz="4" w:space="0"/>
            </w:tcBorders>
          </w:tcPr>
          <w:p w:rsidR="00183312" w:rsidDel="0034583B" w:rsidP="00183312" w:rsidRDefault="00183312" w14:paraId="6AF46249" w14:textId="77777777"/>
        </w:tc>
        <w:tc>
          <w:tcPr>
            <w:tcW w:w="697" w:type="dxa"/>
            <w:tcBorders>
              <w:bottom w:val="single" w:color="auto" w:sz="4" w:space="0"/>
            </w:tcBorders>
          </w:tcPr>
          <w:p w:rsidR="00183312" w:rsidDel="0034583B" w:rsidP="00183312" w:rsidRDefault="00183312" w14:paraId="3C6B7811" w14:textId="77777777"/>
        </w:tc>
        <w:tc>
          <w:tcPr>
            <w:tcW w:w="698" w:type="dxa"/>
            <w:tcBorders>
              <w:bottom w:val="single" w:color="auto" w:sz="4" w:space="0"/>
            </w:tcBorders>
          </w:tcPr>
          <w:p w:rsidR="00183312" w:rsidDel="0034583B" w:rsidP="00183312" w:rsidRDefault="00183312" w14:paraId="01E9ED3C" w14:textId="77777777"/>
        </w:tc>
        <w:tc>
          <w:tcPr>
            <w:tcW w:w="697" w:type="dxa"/>
            <w:tcBorders>
              <w:bottom w:val="single" w:color="auto" w:sz="4" w:space="0"/>
            </w:tcBorders>
          </w:tcPr>
          <w:p w:rsidR="00183312" w:rsidDel="0034583B" w:rsidP="00183312" w:rsidRDefault="00183312" w14:paraId="063ECE19" w14:textId="77777777"/>
        </w:tc>
        <w:tc>
          <w:tcPr>
            <w:tcW w:w="698" w:type="dxa"/>
            <w:tcBorders>
              <w:bottom w:val="single" w:color="auto" w:sz="4" w:space="0"/>
            </w:tcBorders>
            <w:shd w:val="clear" w:color="auto" w:fill="F79646" w:themeFill="accent6"/>
          </w:tcPr>
          <w:p w:rsidR="00183312" w:rsidDel="0034583B" w:rsidP="00183312" w:rsidRDefault="00183312" w14:paraId="32754A82" w14:textId="77777777"/>
        </w:tc>
        <w:tc>
          <w:tcPr>
            <w:tcW w:w="697" w:type="dxa"/>
            <w:tcBorders>
              <w:bottom w:val="single" w:color="auto" w:sz="4" w:space="0"/>
            </w:tcBorders>
            <w:shd w:val="clear" w:color="auto" w:fill="F79646" w:themeFill="accent6"/>
          </w:tcPr>
          <w:p w:rsidR="00183312" w:rsidDel="0034583B" w:rsidP="00183312" w:rsidRDefault="00183312" w14:paraId="58B83B40" w14:textId="77777777"/>
        </w:tc>
        <w:tc>
          <w:tcPr>
            <w:tcW w:w="698" w:type="dxa"/>
            <w:tcBorders>
              <w:bottom w:val="single" w:color="auto" w:sz="4" w:space="0"/>
            </w:tcBorders>
            <w:shd w:val="clear" w:color="auto" w:fill="F79646" w:themeFill="accent6"/>
          </w:tcPr>
          <w:p w:rsidR="00183312" w:rsidDel="0034583B" w:rsidP="00183312" w:rsidRDefault="00183312" w14:paraId="2EC5F5A2" w14:textId="77777777"/>
        </w:tc>
      </w:tr>
      <w:tr w:rsidR="00183312" w:rsidDel="0034583B" w:rsidTr="00183312" w14:paraId="5D761C3A" w14:textId="77777777">
        <w:trPr>
          <w:trHeight w:val="288"/>
        </w:trPr>
        <w:tc>
          <w:tcPr>
            <w:tcW w:w="2322" w:type="dxa"/>
          </w:tcPr>
          <w:p w:rsidRPr="00D2370D" w:rsidR="00183312" w:rsidDel="0034583B" w:rsidP="00183312" w:rsidRDefault="00183312" w14:paraId="21E0D570" w14:textId="73666541">
            <w:pPr>
              <w:rPr>
                <w:b/>
              </w:rPr>
            </w:pPr>
            <w:r w:rsidDel="0034583B">
              <w:rPr>
                <w:b/>
              </w:rPr>
              <w:t>Endocrinology</w:t>
            </w:r>
            <w:r w:rsidR="00A12D27">
              <w:rPr>
                <w:b/>
              </w:rPr>
              <w:t>*</w:t>
            </w:r>
          </w:p>
        </w:tc>
        <w:tc>
          <w:tcPr>
            <w:tcW w:w="697" w:type="dxa"/>
            <w:tcBorders>
              <w:bottom w:val="single" w:color="auto" w:sz="4" w:space="0"/>
            </w:tcBorders>
          </w:tcPr>
          <w:p w:rsidR="00183312" w:rsidDel="0034583B" w:rsidP="00183312" w:rsidRDefault="00183312" w14:paraId="4968DB5D" w14:textId="77777777"/>
        </w:tc>
        <w:tc>
          <w:tcPr>
            <w:tcW w:w="698" w:type="dxa"/>
            <w:tcBorders>
              <w:bottom w:val="single" w:color="auto" w:sz="4" w:space="0"/>
            </w:tcBorders>
          </w:tcPr>
          <w:p w:rsidR="00183312" w:rsidDel="0034583B" w:rsidP="00183312" w:rsidRDefault="00183312" w14:paraId="56B46908" w14:textId="77777777"/>
        </w:tc>
        <w:tc>
          <w:tcPr>
            <w:tcW w:w="697" w:type="dxa"/>
            <w:tcBorders>
              <w:bottom w:val="single" w:color="auto" w:sz="4" w:space="0"/>
            </w:tcBorders>
          </w:tcPr>
          <w:p w:rsidR="00183312" w:rsidDel="0034583B" w:rsidP="00183312" w:rsidRDefault="00183312" w14:paraId="622E4779" w14:textId="77777777"/>
        </w:tc>
        <w:tc>
          <w:tcPr>
            <w:tcW w:w="698" w:type="dxa"/>
            <w:tcBorders>
              <w:bottom w:val="single" w:color="auto" w:sz="4" w:space="0"/>
            </w:tcBorders>
            <w:shd w:val="clear" w:color="auto" w:fill="C4BC96" w:themeFill="background2" w:themeFillShade="BF"/>
          </w:tcPr>
          <w:p w:rsidR="00183312" w:rsidDel="0034583B" w:rsidP="00183312" w:rsidRDefault="00183312" w14:paraId="2478D88E" w14:textId="77777777"/>
        </w:tc>
        <w:tc>
          <w:tcPr>
            <w:tcW w:w="697" w:type="dxa"/>
            <w:tcBorders>
              <w:bottom w:val="single" w:color="auto" w:sz="4" w:space="0"/>
            </w:tcBorders>
            <w:shd w:val="clear" w:color="auto" w:fill="C4BC96" w:themeFill="background2" w:themeFillShade="BF"/>
          </w:tcPr>
          <w:p w:rsidR="00183312" w:rsidDel="0034583B" w:rsidP="00183312" w:rsidRDefault="00183312" w14:paraId="4B189321" w14:textId="77777777"/>
        </w:tc>
        <w:tc>
          <w:tcPr>
            <w:tcW w:w="698" w:type="dxa"/>
            <w:tcBorders>
              <w:bottom w:val="single" w:color="auto" w:sz="4" w:space="0"/>
            </w:tcBorders>
            <w:shd w:val="clear" w:color="auto" w:fill="C4BC96" w:themeFill="background2" w:themeFillShade="BF"/>
          </w:tcPr>
          <w:p w:rsidR="00183312" w:rsidDel="0034583B" w:rsidP="00183312" w:rsidRDefault="00183312" w14:paraId="08D14723" w14:textId="77777777"/>
        </w:tc>
        <w:tc>
          <w:tcPr>
            <w:tcW w:w="697" w:type="dxa"/>
            <w:tcBorders>
              <w:bottom w:val="single" w:color="auto" w:sz="4" w:space="0"/>
            </w:tcBorders>
          </w:tcPr>
          <w:p w:rsidR="00183312" w:rsidDel="0034583B" w:rsidP="00183312" w:rsidRDefault="00183312" w14:paraId="5FA2BDA3" w14:textId="77777777"/>
        </w:tc>
        <w:tc>
          <w:tcPr>
            <w:tcW w:w="698" w:type="dxa"/>
            <w:tcBorders>
              <w:bottom w:val="single" w:color="auto" w:sz="4" w:space="0"/>
            </w:tcBorders>
          </w:tcPr>
          <w:p w:rsidR="00183312" w:rsidDel="0034583B" w:rsidP="00183312" w:rsidRDefault="00183312" w14:paraId="015211B3" w14:textId="77777777"/>
        </w:tc>
        <w:tc>
          <w:tcPr>
            <w:tcW w:w="697" w:type="dxa"/>
            <w:tcBorders>
              <w:bottom w:val="single" w:color="auto" w:sz="4" w:space="0"/>
            </w:tcBorders>
          </w:tcPr>
          <w:p w:rsidR="00183312" w:rsidDel="0034583B" w:rsidP="00183312" w:rsidRDefault="00183312" w14:paraId="447DC0B1" w14:textId="77777777"/>
        </w:tc>
        <w:tc>
          <w:tcPr>
            <w:tcW w:w="698" w:type="dxa"/>
            <w:tcBorders>
              <w:bottom w:val="single" w:color="auto" w:sz="4" w:space="0"/>
            </w:tcBorders>
            <w:shd w:val="clear" w:color="auto" w:fill="FFFFFF" w:themeFill="background1"/>
          </w:tcPr>
          <w:p w:rsidR="00183312" w:rsidDel="0034583B" w:rsidP="00183312" w:rsidRDefault="00183312" w14:paraId="275616C7" w14:textId="77777777"/>
        </w:tc>
        <w:tc>
          <w:tcPr>
            <w:tcW w:w="697" w:type="dxa"/>
            <w:tcBorders>
              <w:bottom w:val="single" w:color="auto" w:sz="4" w:space="0"/>
            </w:tcBorders>
            <w:shd w:val="clear" w:color="auto" w:fill="FFFFFF" w:themeFill="background1"/>
          </w:tcPr>
          <w:p w:rsidR="00183312" w:rsidDel="0034583B" w:rsidP="00183312" w:rsidRDefault="00183312" w14:paraId="2CB49262" w14:textId="77777777"/>
        </w:tc>
        <w:tc>
          <w:tcPr>
            <w:tcW w:w="698" w:type="dxa"/>
            <w:tcBorders>
              <w:bottom w:val="single" w:color="auto" w:sz="4" w:space="0"/>
            </w:tcBorders>
            <w:shd w:val="clear" w:color="auto" w:fill="FFFFFF" w:themeFill="background1"/>
          </w:tcPr>
          <w:p w:rsidR="00183312" w:rsidDel="0034583B" w:rsidP="00183312" w:rsidRDefault="00183312" w14:paraId="26607506" w14:textId="77777777"/>
        </w:tc>
      </w:tr>
      <w:tr w:rsidR="00183312" w:rsidDel="0034583B" w:rsidTr="00183312" w14:paraId="6E6EA4B4" w14:textId="77777777">
        <w:trPr>
          <w:trHeight w:val="288"/>
        </w:trPr>
        <w:tc>
          <w:tcPr>
            <w:tcW w:w="2322" w:type="dxa"/>
          </w:tcPr>
          <w:p w:rsidR="00183312" w:rsidDel="0034583B" w:rsidP="00183312" w:rsidRDefault="00183312" w14:paraId="1725CDFD" w14:textId="3D23095D">
            <w:pPr>
              <w:rPr>
                <w:b/>
              </w:rPr>
            </w:pPr>
            <w:r w:rsidDel="0034583B">
              <w:rPr>
                <w:b/>
              </w:rPr>
              <w:t>Elder at Home</w:t>
            </w:r>
            <w:r w:rsidR="00A12D27">
              <w:rPr>
                <w:b/>
              </w:rPr>
              <w:t>*</w:t>
            </w:r>
          </w:p>
        </w:tc>
        <w:tc>
          <w:tcPr>
            <w:tcW w:w="697" w:type="dxa"/>
            <w:tcBorders>
              <w:bottom w:val="single" w:color="auto" w:sz="4" w:space="0"/>
            </w:tcBorders>
          </w:tcPr>
          <w:p w:rsidR="00183312" w:rsidDel="0034583B" w:rsidP="00183312" w:rsidRDefault="00183312" w14:paraId="205C327C" w14:textId="77777777"/>
        </w:tc>
        <w:tc>
          <w:tcPr>
            <w:tcW w:w="698" w:type="dxa"/>
            <w:tcBorders>
              <w:bottom w:val="single" w:color="auto" w:sz="4" w:space="0"/>
            </w:tcBorders>
          </w:tcPr>
          <w:p w:rsidR="00183312" w:rsidDel="0034583B" w:rsidP="00183312" w:rsidRDefault="00183312" w14:paraId="0C099525" w14:textId="77777777"/>
        </w:tc>
        <w:tc>
          <w:tcPr>
            <w:tcW w:w="697" w:type="dxa"/>
            <w:tcBorders>
              <w:bottom w:val="single" w:color="auto" w:sz="4" w:space="0"/>
            </w:tcBorders>
          </w:tcPr>
          <w:p w:rsidR="00183312" w:rsidDel="0034583B" w:rsidP="00183312" w:rsidRDefault="00183312" w14:paraId="66AB549A" w14:textId="77777777"/>
        </w:tc>
        <w:tc>
          <w:tcPr>
            <w:tcW w:w="698" w:type="dxa"/>
            <w:tcBorders>
              <w:bottom w:val="single" w:color="auto" w:sz="4" w:space="0"/>
            </w:tcBorders>
            <w:shd w:val="clear" w:color="auto" w:fill="FFFFFF" w:themeFill="background1"/>
          </w:tcPr>
          <w:p w:rsidR="00183312" w:rsidDel="0034583B" w:rsidP="00183312" w:rsidRDefault="00183312" w14:paraId="55D97F92" w14:textId="77777777"/>
        </w:tc>
        <w:tc>
          <w:tcPr>
            <w:tcW w:w="697" w:type="dxa"/>
            <w:tcBorders>
              <w:bottom w:val="single" w:color="auto" w:sz="4" w:space="0"/>
            </w:tcBorders>
            <w:shd w:val="clear" w:color="auto" w:fill="FFFFFF" w:themeFill="background1"/>
          </w:tcPr>
          <w:p w:rsidR="00183312" w:rsidDel="0034583B" w:rsidP="00183312" w:rsidRDefault="00183312" w14:paraId="13FFE5E6" w14:textId="77777777"/>
        </w:tc>
        <w:tc>
          <w:tcPr>
            <w:tcW w:w="698" w:type="dxa"/>
            <w:tcBorders>
              <w:bottom w:val="single" w:color="auto" w:sz="4" w:space="0"/>
            </w:tcBorders>
            <w:shd w:val="clear" w:color="auto" w:fill="FFFFFF" w:themeFill="background1"/>
          </w:tcPr>
          <w:p w:rsidR="00183312" w:rsidDel="0034583B" w:rsidP="00183312" w:rsidRDefault="00183312" w14:paraId="5B236492" w14:textId="77777777"/>
        </w:tc>
        <w:tc>
          <w:tcPr>
            <w:tcW w:w="697" w:type="dxa"/>
            <w:tcBorders>
              <w:bottom w:val="single" w:color="auto" w:sz="4" w:space="0"/>
            </w:tcBorders>
          </w:tcPr>
          <w:p w:rsidR="00183312" w:rsidDel="0034583B" w:rsidP="00183312" w:rsidRDefault="00183312" w14:paraId="77D621D5" w14:textId="77777777"/>
        </w:tc>
        <w:tc>
          <w:tcPr>
            <w:tcW w:w="698" w:type="dxa"/>
            <w:tcBorders>
              <w:bottom w:val="single" w:color="auto" w:sz="4" w:space="0"/>
            </w:tcBorders>
            <w:shd w:val="clear" w:color="auto" w:fill="7F7F7F" w:themeFill="text1" w:themeFillTint="80"/>
          </w:tcPr>
          <w:p w:rsidR="00183312" w:rsidDel="0034583B" w:rsidP="00183312" w:rsidRDefault="00183312" w14:paraId="6CDCDEB0" w14:textId="77777777"/>
        </w:tc>
        <w:tc>
          <w:tcPr>
            <w:tcW w:w="697" w:type="dxa"/>
            <w:tcBorders>
              <w:bottom w:val="single" w:color="auto" w:sz="4" w:space="0"/>
            </w:tcBorders>
            <w:shd w:val="clear" w:color="auto" w:fill="7F7F7F" w:themeFill="text1" w:themeFillTint="80"/>
          </w:tcPr>
          <w:p w:rsidR="00183312" w:rsidDel="0034583B" w:rsidP="00183312" w:rsidRDefault="00183312" w14:paraId="7057FEF2" w14:textId="77777777"/>
        </w:tc>
        <w:tc>
          <w:tcPr>
            <w:tcW w:w="698" w:type="dxa"/>
            <w:tcBorders>
              <w:bottom w:val="single" w:color="auto" w:sz="4" w:space="0"/>
            </w:tcBorders>
            <w:shd w:val="clear" w:color="auto" w:fill="FFFFFF" w:themeFill="background1"/>
          </w:tcPr>
          <w:p w:rsidR="00183312" w:rsidDel="0034583B" w:rsidP="00183312" w:rsidRDefault="00183312" w14:paraId="7ADC713D" w14:textId="77777777"/>
        </w:tc>
        <w:tc>
          <w:tcPr>
            <w:tcW w:w="697" w:type="dxa"/>
            <w:tcBorders>
              <w:bottom w:val="single" w:color="auto" w:sz="4" w:space="0"/>
            </w:tcBorders>
            <w:shd w:val="clear" w:color="auto" w:fill="FFFFFF" w:themeFill="background1"/>
          </w:tcPr>
          <w:p w:rsidR="00183312" w:rsidDel="0034583B" w:rsidP="00183312" w:rsidRDefault="00183312" w14:paraId="75F11D94" w14:textId="77777777"/>
        </w:tc>
        <w:tc>
          <w:tcPr>
            <w:tcW w:w="698" w:type="dxa"/>
            <w:tcBorders>
              <w:bottom w:val="single" w:color="auto" w:sz="4" w:space="0"/>
            </w:tcBorders>
            <w:shd w:val="clear" w:color="auto" w:fill="FFFFFF" w:themeFill="background1"/>
          </w:tcPr>
          <w:p w:rsidR="00183312" w:rsidDel="0034583B" w:rsidP="00183312" w:rsidRDefault="00183312" w14:paraId="3E08B0AD" w14:textId="77777777"/>
        </w:tc>
      </w:tr>
      <w:tr w:rsidR="00183312" w:rsidDel="0034583B" w:rsidTr="002E350B" w14:paraId="5E26AB67" w14:textId="77777777">
        <w:trPr>
          <w:trHeight w:val="288"/>
        </w:trPr>
        <w:tc>
          <w:tcPr>
            <w:tcW w:w="2322" w:type="dxa"/>
          </w:tcPr>
          <w:p w:rsidRPr="00D2370D" w:rsidR="00183312" w:rsidDel="0034583B" w:rsidP="00183312" w:rsidRDefault="00183312" w14:paraId="25B16EA6" w14:textId="77777777">
            <w:pPr>
              <w:rPr>
                <w:b/>
              </w:rPr>
            </w:pPr>
            <w:r w:rsidRPr="00D2370D" w:rsidDel="0034583B">
              <w:rPr>
                <w:b/>
              </w:rPr>
              <w:t>Health Education</w:t>
            </w:r>
          </w:p>
        </w:tc>
        <w:tc>
          <w:tcPr>
            <w:tcW w:w="697" w:type="dxa"/>
            <w:tcBorders>
              <w:bottom w:val="single" w:color="auto" w:sz="4" w:space="0"/>
            </w:tcBorders>
            <w:shd w:val="clear" w:color="auto" w:fill="auto"/>
          </w:tcPr>
          <w:p w:rsidR="00183312" w:rsidDel="0034583B" w:rsidP="00183312" w:rsidRDefault="00183312" w14:paraId="22EEA774" w14:textId="77777777"/>
        </w:tc>
        <w:tc>
          <w:tcPr>
            <w:tcW w:w="698" w:type="dxa"/>
            <w:tcBorders>
              <w:bottom w:val="single" w:color="auto" w:sz="4" w:space="0"/>
            </w:tcBorders>
            <w:shd w:val="clear" w:color="auto" w:fill="365F91" w:themeFill="accent1" w:themeFillShade="BF"/>
          </w:tcPr>
          <w:p w:rsidR="00183312" w:rsidDel="0034583B" w:rsidP="00183312" w:rsidRDefault="00183312" w14:paraId="389ADC1E" w14:textId="77777777"/>
        </w:tc>
        <w:tc>
          <w:tcPr>
            <w:tcW w:w="697" w:type="dxa"/>
            <w:tcBorders>
              <w:bottom w:val="single" w:color="auto" w:sz="4" w:space="0"/>
            </w:tcBorders>
            <w:shd w:val="clear" w:color="auto" w:fill="365F91" w:themeFill="accent1" w:themeFillShade="BF"/>
          </w:tcPr>
          <w:p w:rsidR="00183312" w:rsidDel="0034583B" w:rsidP="00183312" w:rsidRDefault="00183312" w14:paraId="27FB2F9C" w14:textId="77777777"/>
        </w:tc>
        <w:tc>
          <w:tcPr>
            <w:tcW w:w="698" w:type="dxa"/>
            <w:tcBorders>
              <w:bottom w:val="single" w:color="auto" w:sz="4" w:space="0"/>
            </w:tcBorders>
            <w:shd w:val="clear" w:color="auto" w:fill="365F91" w:themeFill="accent1" w:themeFillShade="BF"/>
          </w:tcPr>
          <w:p w:rsidR="00183312" w:rsidDel="0034583B" w:rsidP="00183312" w:rsidRDefault="00183312" w14:paraId="6A5E3CCD" w14:textId="77777777"/>
        </w:tc>
        <w:tc>
          <w:tcPr>
            <w:tcW w:w="697" w:type="dxa"/>
            <w:tcBorders>
              <w:bottom w:val="single" w:color="auto" w:sz="4" w:space="0"/>
            </w:tcBorders>
            <w:shd w:val="clear" w:color="auto" w:fill="365F91" w:themeFill="accent1" w:themeFillShade="BF"/>
          </w:tcPr>
          <w:p w:rsidR="00183312" w:rsidDel="0034583B" w:rsidP="00183312" w:rsidRDefault="00183312" w14:paraId="3C4F691A" w14:textId="77777777"/>
        </w:tc>
        <w:tc>
          <w:tcPr>
            <w:tcW w:w="698" w:type="dxa"/>
            <w:tcBorders>
              <w:bottom w:val="single" w:color="auto" w:sz="4" w:space="0"/>
            </w:tcBorders>
            <w:shd w:val="clear" w:color="auto" w:fill="365F91" w:themeFill="accent1" w:themeFillShade="BF"/>
          </w:tcPr>
          <w:p w:rsidR="00183312" w:rsidDel="0034583B" w:rsidP="00183312" w:rsidRDefault="00183312" w14:paraId="4D7FE21C" w14:textId="77777777"/>
        </w:tc>
        <w:tc>
          <w:tcPr>
            <w:tcW w:w="697" w:type="dxa"/>
            <w:tcBorders>
              <w:bottom w:val="single" w:color="auto" w:sz="4" w:space="0"/>
            </w:tcBorders>
            <w:shd w:val="clear" w:color="auto" w:fill="365F91" w:themeFill="accent1" w:themeFillShade="BF"/>
          </w:tcPr>
          <w:p w:rsidR="00183312" w:rsidDel="0034583B" w:rsidP="00183312" w:rsidRDefault="00183312" w14:paraId="3E1239F1" w14:textId="77777777"/>
        </w:tc>
        <w:tc>
          <w:tcPr>
            <w:tcW w:w="698" w:type="dxa"/>
            <w:tcBorders>
              <w:bottom w:val="single" w:color="auto" w:sz="4" w:space="0"/>
            </w:tcBorders>
            <w:shd w:val="clear" w:color="auto" w:fill="365F91" w:themeFill="accent1" w:themeFillShade="BF"/>
          </w:tcPr>
          <w:p w:rsidR="00183312" w:rsidDel="0034583B" w:rsidP="00183312" w:rsidRDefault="00183312" w14:paraId="5C45B05C" w14:textId="77777777"/>
        </w:tc>
        <w:tc>
          <w:tcPr>
            <w:tcW w:w="697" w:type="dxa"/>
            <w:tcBorders>
              <w:bottom w:val="single" w:color="auto" w:sz="4" w:space="0"/>
            </w:tcBorders>
            <w:shd w:val="clear" w:color="auto" w:fill="365F91" w:themeFill="accent1" w:themeFillShade="BF"/>
          </w:tcPr>
          <w:p w:rsidR="00183312" w:rsidDel="0034583B" w:rsidP="00183312" w:rsidRDefault="00183312" w14:paraId="788BA324" w14:textId="77777777"/>
        </w:tc>
        <w:tc>
          <w:tcPr>
            <w:tcW w:w="698" w:type="dxa"/>
            <w:tcBorders>
              <w:bottom w:val="single" w:color="auto" w:sz="4" w:space="0"/>
            </w:tcBorders>
            <w:shd w:val="clear" w:color="auto" w:fill="auto"/>
          </w:tcPr>
          <w:p w:rsidR="00183312" w:rsidDel="0034583B" w:rsidP="00183312" w:rsidRDefault="00183312" w14:paraId="1FFEA799" w14:textId="77777777"/>
        </w:tc>
        <w:tc>
          <w:tcPr>
            <w:tcW w:w="697" w:type="dxa"/>
            <w:tcBorders>
              <w:bottom w:val="single" w:color="auto" w:sz="4" w:space="0"/>
            </w:tcBorders>
            <w:shd w:val="clear" w:color="auto" w:fill="auto"/>
          </w:tcPr>
          <w:p w:rsidR="00183312" w:rsidDel="0034583B" w:rsidP="00183312" w:rsidRDefault="00183312" w14:paraId="07705474" w14:textId="77777777"/>
        </w:tc>
        <w:tc>
          <w:tcPr>
            <w:tcW w:w="698" w:type="dxa"/>
            <w:tcBorders>
              <w:bottom w:val="single" w:color="auto" w:sz="4" w:space="0"/>
            </w:tcBorders>
            <w:shd w:val="clear" w:color="auto" w:fill="auto"/>
          </w:tcPr>
          <w:p w:rsidR="00183312" w:rsidDel="0034583B" w:rsidP="00183312" w:rsidRDefault="00183312" w14:paraId="7B649EA2" w14:textId="77777777"/>
        </w:tc>
      </w:tr>
      <w:tr w:rsidR="00183312" w:rsidDel="0034583B" w:rsidTr="002E350B" w14:paraId="7812584E" w14:textId="77777777">
        <w:trPr>
          <w:trHeight w:val="288"/>
        </w:trPr>
        <w:tc>
          <w:tcPr>
            <w:tcW w:w="2322" w:type="dxa"/>
          </w:tcPr>
          <w:p w:rsidRPr="00D2370D" w:rsidR="00183312" w:rsidDel="0034583B" w:rsidP="00183312" w:rsidRDefault="00183312" w14:paraId="0C8A86AE" w14:textId="77777777">
            <w:pPr>
              <w:rPr>
                <w:b/>
              </w:rPr>
            </w:pPr>
            <w:r w:rsidRPr="00D2370D" w:rsidDel="0034583B">
              <w:rPr>
                <w:b/>
              </w:rPr>
              <w:t>Major Project</w:t>
            </w:r>
          </w:p>
        </w:tc>
        <w:tc>
          <w:tcPr>
            <w:tcW w:w="697" w:type="dxa"/>
            <w:tcBorders>
              <w:bottom w:val="single" w:color="auto" w:sz="4" w:space="0"/>
            </w:tcBorders>
            <w:shd w:val="clear" w:color="auto" w:fill="auto"/>
          </w:tcPr>
          <w:p w:rsidR="00183312" w:rsidDel="0034583B" w:rsidP="00183312" w:rsidRDefault="00183312" w14:paraId="395D8925" w14:textId="77777777"/>
        </w:tc>
        <w:tc>
          <w:tcPr>
            <w:tcW w:w="698" w:type="dxa"/>
            <w:tcBorders>
              <w:bottom w:val="single" w:color="auto" w:sz="4" w:space="0"/>
            </w:tcBorders>
            <w:shd w:val="clear" w:color="auto" w:fill="auto"/>
          </w:tcPr>
          <w:p w:rsidR="00183312" w:rsidDel="0034583B" w:rsidP="00183312" w:rsidRDefault="00183312" w14:paraId="5463124D" w14:textId="77777777"/>
        </w:tc>
        <w:tc>
          <w:tcPr>
            <w:tcW w:w="697" w:type="dxa"/>
            <w:tcBorders>
              <w:bottom w:val="single" w:color="auto" w:sz="4" w:space="0"/>
            </w:tcBorders>
            <w:shd w:val="clear" w:color="auto" w:fill="95B3D7" w:themeFill="accent1" w:themeFillTint="99"/>
          </w:tcPr>
          <w:p w:rsidR="00183312" w:rsidDel="0034583B" w:rsidP="00183312" w:rsidRDefault="00183312" w14:paraId="77C20736" w14:textId="77777777"/>
        </w:tc>
        <w:tc>
          <w:tcPr>
            <w:tcW w:w="698" w:type="dxa"/>
            <w:tcBorders>
              <w:bottom w:val="single" w:color="auto" w:sz="4" w:space="0"/>
            </w:tcBorders>
            <w:shd w:val="clear" w:color="auto" w:fill="95B3D7" w:themeFill="accent1" w:themeFillTint="99"/>
          </w:tcPr>
          <w:p w:rsidR="00183312" w:rsidDel="0034583B" w:rsidP="00183312" w:rsidRDefault="00183312" w14:paraId="699B8A64" w14:textId="77777777"/>
        </w:tc>
        <w:tc>
          <w:tcPr>
            <w:tcW w:w="697" w:type="dxa"/>
            <w:tcBorders>
              <w:bottom w:val="single" w:color="auto" w:sz="4" w:space="0"/>
            </w:tcBorders>
            <w:shd w:val="clear" w:color="auto" w:fill="95B3D7" w:themeFill="accent1" w:themeFillTint="99"/>
          </w:tcPr>
          <w:p w:rsidR="00183312" w:rsidDel="0034583B" w:rsidP="00183312" w:rsidRDefault="00183312" w14:paraId="0F190E33" w14:textId="77777777"/>
        </w:tc>
        <w:tc>
          <w:tcPr>
            <w:tcW w:w="698" w:type="dxa"/>
            <w:tcBorders>
              <w:bottom w:val="single" w:color="auto" w:sz="4" w:space="0"/>
            </w:tcBorders>
            <w:shd w:val="clear" w:color="auto" w:fill="95B3D7" w:themeFill="accent1" w:themeFillTint="99"/>
          </w:tcPr>
          <w:p w:rsidR="00183312" w:rsidDel="0034583B" w:rsidP="00183312" w:rsidRDefault="00183312" w14:paraId="4F427545" w14:textId="77777777"/>
        </w:tc>
        <w:tc>
          <w:tcPr>
            <w:tcW w:w="697" w:type="dxa"/>
            <w:tcBorders>
              <w:bottom w:val="single" w:color="auto" w:sz="4" w:space="0"/>
            </w:tcBorders>
            <w:shd w:val="clear" w:color="auto" w:fill="95B3D7" w:themeFill="accent1" w:themeFillTint="99"/>
          </w:tcPr>
          <w:p w:rsidR="00183312" w:rsidDel="0034583B" w:rsidP="00183312" w:rsidRDefault="00183312" w14:paraId="4399C17E" w14:textId="77777777"/>
        </w:tc>
        <w:tc>
          <w:tcPr>
            <w:tcW w:w="698" w:type="dxa"/>
            <w:tcBorders>
              <w:bottom w:val="single" w:color="auto" w:sz="4" w:space="0"/>
            </w:tcBorders>
            <w:shd w:val="clear" w:color="auto" w:fill="95B3D7" w:themeFill="accent1" w:themeFillTint="99"/>
          </w:tcPr>
          <w:p w:rsidR="00183312" w:rsidDel="0034583B" w:rsidP="00183312" w:rsidRDefault="00183312" w14:paraId="7CA0C80D" w14:textId="77777777"/>
        </w:tc>
        <w:tc>
          <w:tcPr>
            <w:tcW w:w="697" w:type="dxa"/>
            <w:tcBorders>
              <w:bottom w:val="single" w:color="auto" w:sz="4" w:space="0"/>
            </w:tcBorders>
            <w:shd w:val="clear" w:color="auto" w:fill="95B3D7" w:themeFill="accent1" w:themeFillTint="99"/>
          </w:tcPr>
          <w:p w:rsidR="00183312" w:rsidDel="0034583B" w:rsidP="00183312" w:rsidRDefault="00183312" w14:paraId="3F278D4A" w14:textId="77777777"/>
        </w:tc>
        <w:tc>
          <w:tcPr>
            <w:tcW w:w="698" w:type="dxa"/>
            <w:tcBorders>
              <w:bottom w:val="single" w:color="auto" w:sz="4" w:space="0"/>
            </w:tcBorders>
            <w:shd w:val="clear" w:color="auto" w:fill="95B3D7" w:themeFill="accent1" w:themeFillTint="99"/>
          </w:tcPr>
          <w:p w:rsidR="00183312" w:rsidDel="0034583B" w:rsidP="00183312" w:rsidRDefault="00183312" w14:paraId="6B641F61" w14:textId="77777777"/>
        </w:tc>
        <w:tc>
          <w:tcPr>
            <w:tcW w:w="697" w:type="dxa"/>
            <w:tcBorders>
              <w:bottom w:val="single" w:color="auto" w:sz="4" w:space="0"/>
            </w:tcBorders>
            <w:shd w:val="clear" w:color="auto" w:fill="95B3D7" w:themeFill="accent1" w:themeFillTint="99"/>
          </w:tcPr>
          <w:p w:rsidR="00183312" w:rsidDel="0034583B" w:rsidP="00183312" w:rsidRDefault="00183312" w14:paraId="7B14C1B9" w14:textId="77777777"/>
        </w:tc>
        <w:tc>
          <w:tcPr>
            <w:tcW w:w="698" w:type="dxa"/>
            <w:tcBorders>
              <w:bottom w:val="single" w:color="auto" w:sz="4" w:space="0"/>
            </w:tcBorders>
            <w:shd w:val="clear" w:color="auto" w:fill="95B3D7" w:themeFill="accent1" w:themeFillTint="99"/>
          </w:tcPr>
          <w:p w:rsidR="00183312" w:rsidDel="0034583B" w:rsidP="00183312" w:rsidRDefault="00183312" w14:paraId="6658CF37" w14:textId="77777777"/>
        </w:tc>
      </w:tr>
      <w:tr w:rsidR="006161E9" w:rsidDel="0034583B" w:rsidTr="006161E9" w14:paraId="0EF80E29" w14:textId="77777777">
        <w:trPr>
          <w:trHeight w:val="288"/>
        </w:trPr>
        <w:tc>
          <w:tcPr>
            <w:tcW w:w="2322" w:type="dxa"/>
          </w:tcPr>
          <w:p w:rsidRPr="00D2370D" w:rsidR="006161E9" w:rsidDel="0034583B" w:rsidP="00183312" w:rsidRDefault="006161E9" w14:paraId="0F98A5CA" w14:textId="7C5B9911">
            <w:pPr>
              <w:rPr>
                <w:b/>
              </w:rPr>
            </w:pPr>
            <w:r>
              <w:rPr>
                <w:b/>
              </w:rPr>
              <w:t>Medication Safety</w:t>
            </w:r>
          </w:p>
        </w:tc>
        <w:tc>
          <w:tcPr>
            <w:tcW w:w="697" w:type="dxa"/>
            <w:tcBorders>
              <w:bottom w:val="single" w:color="auto" w:sz="4" w:space="0"/>
            </w:tcBorders>
            <w:shd w:val="clear" w:color="auto" w:fill="auto"/>
          </w:tcPr>
          <w:p w:rsidR="006161E9" w:rsidDel="0034583B" w:rsidP="00183312" w:rsidRDefault="006161E9" w14:paraId="6E1CE510" w14:textId="77777777"/>
        </w:tc>
        <w:tc>
          <w:tcPr>
            <w:tcW w:w="698" w:type="dxa"/>
            <w:tcBorders>
              <w:bottom w:val="single" w:color="auto" w:sz="4" w:space="0"/>
            </w:tcBorders>
            <w:shd w:val="clear" w:color="auto" w:fill="auto"/>
          </w:tcPr>
          <w:p w:rsidR="006161E9" w:rsidDel="0034583B" w:rsidP="00183312" w:rsidRDefault="006161E9" w14:paraId="658C76DE" w14:textId="77777777"/>
        </w:tc>
        <w:tc>
          <w:tcPr>
            <w:tcW w:w="697" w:type="dxa"/>
            <w:tcBorders>
              <w:bottom w:val="single" w:color="auto" w:sz="4" w:space="0"/>
            </w:tcBorders>
            <w:shd w:val="clear" w:color="auto" w:fill="244061" w:themeFill="accent1" w:themeFillShade="80"/>
          </w:tcPr>
          <w:p w:rsidR="006161E9" w:rsidDel="0034583B" w:rsidP="00183312" w:rsidRDefault="006161E9" w14:paraId="58B91DC1" w14:textId="77777777"/>
        </w:tc>
        <w:tc>
          <w:tcPr>
            <w:tcW w:w="698" w:type="dxa"/>
            <w:tcBorders>
              <w:bottom w:val="single" w:color="auto" w:sz="4" w:space="0"/>
            </w:tcBorders>
            <w:shd w:val="clear" w:color="auto" w:fill="244061" w:themeFill="accent1" w:themeFillShade="80"/>
          </w:tcPr>
          <w:p w:rsidR="006161E9" w:rsidDel="0034583B" w:rsidP="00183312" w:rsidRDefault="006161E9" w14:paraId="50B75FA9" w14:textId="77777777"/>
        </w:tc>
        <w:tc>
          <w:tcPr>
            <w:tcW w:w="697" w:type="dxa"/>
            <w:tcBorders>
              <w:bottom w:val="single" w:color="auto" w:sz="4" w:space="0"/>
            </w:tcBorders>
            <w:shd w:val="clear" w:color="auto" w:fill="244061" w:themeFill="accent1" w:themeFillShade="80"/>
          </w:tcPr>
          <w:p w:rsidR="006161E9" w:rsidDel="0034583B" w:rsidP="00183312" w:rsidRDefault="006161E9" w14:paraId="25DDBB7A" w14:textId="77777777"/>
        </w:tc>
        <w:tc>
          <w:tcPr>
            <w:tcW w:w="698" w:type="dxa"/>
            <w:tcBorders>
              <w:bottom w:val="single" w:color="auto" w:sz="4" w:space="0"/>
            </w:tcBorders>
            <w:shd w:val="clear" w:color="auto" w:fill="244061" w:themeFill="accent1" w:themeFillShade="80"/>
          </w:tcPr>
          <w:p w:rsidR="006161E9" w:rsidDel="0034583B" w:rsidP="00183312" w:rsidRDefault="006161E9" w14:paraId="466DEC12" w14:textId="77777777"/>
        </w:tc>
        <w:tc>
          <w:tcPr>
            <w:tcW w:w="697" w:type="dxa"/>
            <w:tcBorders>
              <w:bottom w:val="single" w:color="auto" w:sz="4" w:space="0"/>
            </w:tcBorders>
            <w:shd w:val="clear" w:color="auto" w:fill="244061" w:themeFill="accent1" w:themeFillShade="80"/>
          </w:tcPr>
          <w:p w:rsidR="006161E9" w:rsidDel="0034583B" w:rsidP="00183312" w:rsidRDefault="006161E9" w14:paraId="02064396" w14:textId="77777777"/>
        </w:tc>
        <w:tc>
          <w:tcPr>
            <w:tcW w:w="698" w:type="dxa"/>
            <w:tcBorders>
              <w:bottom w:val="single" w:color="auto" w:sz="4" w:space="0"/>
            </w:tcBorders>
            <w:shd w:val="clear" w:color="auto" w:fill="244061" w:themeFill="accent1" w:themeFillShade="80"/>
          </w:tcPr>
          <w:p w:rsidR="006161E9" w:rsidDel="0034583B" w:rsidP="00183312" w:rsidRDefault="006161E9" w14:paraId="455B8B30" w14:textId="77777777"/>
        </w:tc>
        <w:tc>
          <w:tcPr>
            <w:tcW w:w="697" w:type="dxa"/>
            <w:tcBorders>
              <w:bottom w:val="single" w:color="auto" w:sz="4" w:space="0"/>
            </w:tcBorders>
            <w:shd w:val="clear" w:color="auto" w:fill="244061" w:themeFill="accent1" w:themeFillShade="80"/>
          </w:tcPr>
          <w:p w:rsidR="006161E9" w:rsidDel="0034583B" w:rsidP="00183312" w:rsidRDefault="006161E9" w14:paraId="63F78508" w14:textId="77777777"/>
        </w:tc>
        <w:tc>
          <w:tcPr>
            <w:tcW w:w="698" w:type="dxa"/>
            <w:tcBorders>
              <w:bottom w:val="single" w:color="auto" w:sz="4" w:space="0"/>
            </w:tcBorders>
            <w:shd w:val="clear" w:color="auto" w:fill="244061" w:themeFill="accent1" w:themeFillShade="80"/>
          </w:tcPr>
          <w:p w:rsidR="006161E9" w:rsidDel="0034583B" w:rsidP="00183312" w:rsidRDefault="006161E9" w14:paraId="29B77786" w14:textId="77777777"/>
        </w:tc>
        <w:tc>
          <w:tcPr>
            <w:tcW w:w="697" w:type="dxa"/>
            <w:tcBorders>
              <w:bottom w:val="single" w:color="auto" w:sz="4" w:space="0"/>
            </w:tcBorders>
            <w:shd w:val="clear" w:color="auto" w:fill="244061" w:themeFill="accent1" w:themeFillShade="80"/>
          </w:tcPr>
          <w:p w:rsidR="006161E9" w:rsidDel="0034583B" w:rsidP="00183312" w:rsidRDefault="006161E9" w14:paraId="7E710D91" w14:textId="77777777"/>
        </w:tc>
        <w:tc>
          <w:tcPr>
            <w:tcW w:w="698" w:type="dxa"/>
            <w:tcBorders>
              <w:bottom w:val="single" w:color="auto" w:sz="4" w:space="0"/>
            </w:tcBorders>
            <w:shd w:val="clear" w:color="auto" w:fill="244061" w:themeFill="accent1" w:themeFillShade="80"/>
          </w:tcPr>
          <w:p w:rsidR="006161E9" w:rsidDel="0034583B" w:rsidP="00183312" w:rsidRDefault="006161E9" w14:paraId="5222753A" w14:textId="77777777"/>
        </w:tc>
      </w:tr>
      <w:tr w:rsidR="00183312" w:rsidDel="0034583B" w:rsidTr="002E350B" w14:paraId="198AC5F8" w14:textId="77777777">
        <w:trPr>
          <w:trHeight w:val="288"/>
        </w:trPr>
        <w:tc>
          <w:tcPr>
            <w:tcW w:w="2322" w:type="dxa"/>
          </w:tcPr>
          <w:p w:rsidRPr="00D2370D" w:rsidR="00183312" w:rsidDel="0034583B" w:rsidP="00183312" w:rsidRDefault="00183312" w14:paraId="72D294AE" w14:textId="77777777">
            <w:pPr>
              <w:rPr>
                <w:b/>
              </w:rPr>
            </w:pPr>
            <w:r w:rsidDel="0034583B">
              <w:rPr>
                <w:b/>
              </w:rPr>
              <w:t>Leadership and Administration</w:t>
            </w:r>
          </w:p>
        </w:tc>
        <w:tc>
          <w:tcPr>
            <w:tcW w:w="697" w:type="dxa"/>
            <w:tcBorders>
              <w:bottom w:val="single" w:color="auto" w:sz="4" w:space="0"/>
            </w:tcBorders>
            <w:shd w:val="clear" w:color="auto" w:fill="auto"/>
          </w:tcPr>
          <w:p w:rsidR="00183312" w:rsidDel="0034583B" w:rsidP="00183312" w:rsidRDefault="00183312" w14:paraId="139ECA3B" w14:textId="77777777"/>
        </w:tc>
        <w:tc>
          <w:tcPr>
            <w:tcW w:w="698" w:type="dxa"/>
            <w:tcBorders>
              <w:bottom w:val="single" w:color="auto" w:sz="4" w:space="0"/>
            </w:tcBorders>
            <w:shd w:val="clear" w:color="auto" w:fill="auto"/>
          </w:tcPr>
          <w:p w:rsidR="00183312" w:rsidDel="0034583B" w:rsidP="00183312" w:rsidRDefault="00183312" w14:paraId="4DC0E604" w14:textId="77777777"/>
        </w:tc>
        <w:tc>
          <w:tcPr>
            <w:tcW w:w="697" w:type="dxa"/>
            <w:tcBorders>
              <w:bottom w:val="single" w:color="auto" w:sz="4" w:space="0"/>
            </w:tcBorders>
            <w:shd w:val="clear" w:color="auto" w:fill="B8CCE4" w:themeFill="accent1" w:themeFillTint="66"/>
          </w:tcPr>
          <w:p w:rsidR="00183312" w:rsidDel="0034583B" w:rsidP="00183312" w:rsidRDefault="00183312" w14:paraId="7C450436" w14:textId="77777777"/>
        </w:tc>
        <w:tc>
          <w:tcPr>
            <w:tcW w:w="698" w:type="dxa"/>
            <w:tcBorders>
              <w:bottom w:val="single" w:color="auto" w:sz="4" w:space="0"/>
            </w:tcBorders>
            <w:shd w:val="clear" w:color="auto" w:fill="B8CCE4" w:themeFill="accent1" w:themeFillTint="66"/>
          </w:tcPr>
          <w:p w:rsidR="00183312" w:rsidDel="0034583B" w:rsidP="00183312" w:rsidRDefault="00183312" w14:paraId="7EBF86DF" w14:textId="77777777"/>
        </w:tc>
        <w:tc>
          <w:tcPr>
            <w:tcW w:w="697" w:type="dxa"/>
            <w:tcBorders>
              <w:bottom w:val="single" w:color="auto" w:sz="4" w:space="0"/>
            </w:tcBorders>
            <w:shd w:val="clear" w:color="auto" w:fill="B8CCE4" w:themeFill="accent1" w:themeFillTint="66"/>
          </w:tcPr>
          <w:p w:rsidR="00183312" w:rsidDel="0034583B" w:rsidP="00183312" w:rsidRDefault="00183312" w14:paraId="14A61193" w14:textId="77777777"/>
        </w:tc>
        <w:tc>
          <w:tcPr>
            <w:tcW w:w="698" w:type="dxa"/>
            <w:tcBorders>
              <w:bottom w:val="single" w:color="auto" w:sz="4" w:space="0"/>
            </w:tcBorders>
            <w:shd w:val="clear" w:color="auto" w:fill="B8CCE4" w:themeFill="accent1" w:themeFillTint="66"/>
          </w:tcPr>
          <w:p w:rsidR="00183312" w:rsidDel="0034583B" w:rsidP="00183312" w:rsidRDefault="00183312" w14:paraId="41FCF1EB" w14:textId="77777777"/>
        </w:tc>
        <w:tc>
          <w:tcPr>
            <w:tcW w:w="697" w:type="dxa"/>
            <w:tcBorders>
              <w:bottom w:val="single" w:color="auto" w:sz="4" w:space="0"/>
            </w:tcBorders>
            <w:shd w:val="clear" w:color="auto" w:fill="B8CCE4" w:themeFill="accent1" w:themeFillTint="66"/>
          </w:tcPr>
          <w:p w:rsidR="00183312" w:rsidDel="0034583B" w:rsidP="00183312" w:rsidRDefault="00183312" w14:paraId="1FD9A315" w14:textId="77777777"/>
        </w:tc>
        <w:tc>
          <w:tcPr>
            <w:tcW w:w="698" w:type="dxa"/>
            <w:tcBorders>
              <w:bottom w:val="single" w:color="auto" w:sz="4" w:space="0"/>
            </w:tcBorders>
            <w:shd w:val="clear" w:color="auto" w:fill="B8CCE4" w:themeFill="accent1" w:themeFillTint="66"/>
          </w:tcPr>
          <w:p w:rsidR="00183312" w:rsidDel="0034583B" w:rsidP="00183312" w:rsidRDefault="00183312" w14:paraId="7B5226E1" w14:textId="77777777"/>
        </w:tc>
        <w:tc>
          <w:tcPr>
            <w:tcW w:w="697" w:type="dxa"/>
            <w:tcBorders>
              <w:bottom w:val="single" w:color="auto" w:sz="4" w:space="0"/>
            </w:tcBorders>
            <w:shd w:val="clear" w:color="auto" w:fill="B8CCE4" w:themeFill="accent1" w:themeFillTint="66"/>
          </w:tcPr>
          <w:p w:rsidR="00183312" w:rsidDel="0034583B" w:rsidP="00183312" w:rsidRDefault="00183312" w14:paraId="19AA862B" w14:textId="77777777"/>
        </w:tc>
        <w:tc>
          <w:tcPr>
            <w:tcW w:w="698" w:type="dxa"/>
            <w:tcBorders>
              <w:bottom w:val="single" w:color="auto" w:sz="4" w:space="0"/>
            </w:tcBorders>
            <w:shd w:val="clear" w:color="auto" w:fill="B8CCE4" w:themeFill="accent1" w:themeFillTint="66"/>
          </w:tcPr>
          <w:p w:rsidR="00183312" w:rsidDel="0034583B" w:rsidP="00183312" w:rsidRDefault="00183312" w14:paraId="3DE9DFFC" w14:textId="77777777"/>
        </w:tc>
        <w:tc>
          <w:tcPr>
            <w:tcW w:w="697" w:type="dxa"/>
            <w:tcBorders>
              <w:bottom w:val="single" w:color="auto" w:sz="4" w:space="0"/>
            </w:tcBorders>
            <w:shd w:val="clear" w:color="auto" w:fill="auto"/>
          </w:tcPr>
          <w:p w:rsidR="00183312" w:rsidDel="0034583B" w:rsidP="00183312" w:rsidRDefault="00183312" w14:paraId="5042A182" w14:textId="77777777"/>
        </w:tc>
        <w:tc>
          <w:tcPr>
            <w:tcW w:w="698" w:type="dxa"/>
            <w:tcBorders>
              <w:bottom w:val="single" w:color="auto" w:sz="4" w:space="0"/>
            </w:tcBorders>
            <w:shd w:val="clear" w:color="auto" w:fill="auto"/>
          </w:tcPr>
          <w:p w:rsidR="00183312" w:rsidDel="0034583B" w:rsidP="00183312" w:rsidRDefault="00183312" w14:paraId="273AE5B3" w14:textId="77777777"/>
        </w:tc>
      </w:tr>
      <w:tr w:rsidR="00183312" w:rsidDel="0034583B" w:rsidTr="002E350B" w14:paraId="35769DBD" w14:textId="77777777">
        <w:trPr>
          <w:trHeight w:val="288"/>
        </w:trPr>
        <w:tc>
          <w:tcPr>
            <w:tcW w:w="2322" w:type="dxa"/>
          </w:tcPr>
          <w:p w:rsidRPr="00D2370D" w:rsidR="00183312" w:rsidDel="0034583B" w:rsidP="00183312" w:rsidRDefault="00183312" w14:paraId="7BD96892" w14:textId="77777777">
            <w:pPr>
              <w:rPr>
                <w:b/>
              </w:rPr>
            </w:pPr>
            <w:r w:rsidDel="0034583B">
              <w:rPr>
                <w:b/>
              </w:rPr>
              <w:t>Evidence Based medicine</w:t>
            </w:r>
          </w:p>
        </w:tc>
        <w:tc>
          <w:tcPr>
            <w:tcW w:w="697" w:type="dxa"/>
            <w:shd w:val="clear" w:color="auto" w:fill="auto"/>
          </w:tcPr>
          <w:p w:rsidR="00183312" w:rsidDel="0034583B" w:rsidP="00183312" w:rsidRDefault="00183312" w14:paraId="5E8DB30E" w14:textId="77777777"/>
        </w:tc>
        <w:tc>
          <w:tcPr>
            <w:tcW w:w="698" w:type="dxa"/>
            <w:shd w:val="clear" w:color="auto" w:fill="auto"/>
          </w:tcPr>
          <w:p w:rsidR="00183312" w:rsidDel="0034583B" w:rsidP="00183312" w:rsidRDefault="00183312" w14:paraId="7D1B1066" w14:textId="77777777"/>
        </w:tc>
        <w:tc>
          <w:tcPr>
            <w:tcW w:w="697" w:type="dxa"/>
            <w:shd w:val="clear" w:color="auto" w:fill="DBE5F1" w:themeFill="accent1" w:themeFillTint="33"/>
          </w:tcPr>
          <w:p w:rsidR="00183312" w:rsidDel="0034583B" w:rsidP="00183312" w:rsidRDefault="00183312" w14:paraId="125123FA" w14:textId="77777777"/>
        </w:tc>
        <w:tc>
          <w:tcPr>
            <w:tcW w:w="698" w:type="dxa"/>
            <w:shd w:val="clear" w:color="auto" w:fill="DBE5F1" w:themeFill="accent1" w:themeFillTint="33"/>
          </w:tcPr>
          <w:p w:rsidR="00183312" w:rsidDel="0034583B" w:rsidP="00183312" w:rsidRDefault="00183312" w14:paraId="4DDDD84E" w14:textId="77777777"/>
        </w:tc>
        <w:tc>
          <w:tcPr>
            <w:tcW w:w="697" w:type="dxa"/>
            <w:shd w:val="clear" w:color="auto" w:fill="DBE5F1" w:themeFill="accent1" w:themeFillTint="33"/>
          </w:tcPr>
          <w:p w:rsidR="00183312" w:rsidDel="0034583B" w:rsidP="00183312" w:rsidRDefault="00183312" w14:paraId="52C001CD" w14:textId="77777777"/>
        </w:tc>
        <w:tc>
          <w:tcPr>
            <w:tcW w:w="698" w:type="dxa"/>
            <w:shd w:val="clear" w:color="auto" w:fill="DBE5F1" w:themeFill="accent1" w:themeFillTint="33"/>
          </w:tcPr>
          <w:p w:rsidR="00183312" w:rsidDel="0034583B" w:rsidP="00183312" w:rsidRDefault="00183312" w14:paraId="2B11EAAB" w14:textId="77777777"/>
        </w:tc>
        <w:tc>
          <w:tcPr>
            <w:tcW w:w="697" w:type="dxa"/>
            <w:shd w:val="clear" w:color="auto" w:fill="DBE5F1" w:themeFill="accent1" w:themeFillTint="33"/>
          </w:tcPr>
          <w:p w:rsidR="00183312" w:rsidDel="0034583B" w:rsidP="00183312" w:rsidRDefault="00183312" w14:paraId="696469C0" w14:textId="77777777"/>
        </w:tc>
        <w:tc>
          <w:tcPr>
            <w:tcW w:w="698" w:type="dxa"/>
            <w:shd w:val="clear" w:color="auto" w:fill="DBE5F1" w:themeFill="accent1" w:themeFillTint="33"/>
          </w:tcPr>
          <w:p w:rsidR="00183312" w:rsidDel="0034583B" w:rsidP="00183312" w:rsidRDefault="00183312" w14:paraId="4C39DD77" w14:textId="77777777"/>
        </w:tc>
        <w:tc>
          <w:tcPr>
            <w:tcW w:w="697" w:type="dxa"/>
            <w:shd w:val="clear" w:color="auto" w:fill="DBE5F1" w:themeFill="accent1" w:themeFillTint="33"/>
          </w:tcPr>
          <w:p w:rsidR="00183312" w:rsidDel="0034583B" w:rsidP="00183312" w:rsidRDefault="00183312" w14:paraId="62F1FB97" w14:textId="77777777"/>
        </w:tc>
        <w:tc>
          <w:tcPr>
            <w:tcW w:w="698" w:type="dxa"/>
            <w:shd w:val="clear" w:color="auto" w:fill="DBE5F1" w:themeFill="accent1" w:themeFillTint="33"/>
          </w:tcPr>
          <w:p w:rsidR="00183312" w:rsidDel="0034583B" w:rsidP="00183312" w:rsidRDefault="00183312" w14:paraId="784DB621" w14:textId="77777777"/>
        </w:tc>
        <w:tc>
          <w:tcPr>
            <w:tcW w:w="697" w:type="dxa"/>
            <w:shd w:val="clear" w:color="auto" w:fill="DBE5F1" w:themeFill="accent1" w:themeFillTint="33"/>
          </w:tcPr>
          <w:p w:rsidR="00183312" w:rsidDel="0034583B" w:rsidP="00183312" w:rsidRDefault="00183312" w14:paraId="58510DDE" w14:textId="77777777"/>
        </w:tc>
        <w:tc>
          <w:tcPr>
            <w:tcW w:w="698" w:type="dxa"/>
            <w:shd w:val="clear" w:color="auto" w:fill="DBE5F1" w:themeFill="accent1" w:themeFillTint="33"/>
          </w:tcPr>
          <w:p w:rsidR="00183312" w:rsidDel="0034583B" w:rsidP="00183312" w:rsidRDefault="00183312" w14:paraId="388DDD7C" w14:textId="77777777"/>
        </w:tc>
      </w:tr>
    </w:tbl>
    <w:p w:rsidR="00183312" w:rsidP="00C54EC9" w:rsidRDefault="00183312" w14:paraId="412C2943" w14:textId="40E07F51">
      <w:pPr>
        <w:spacing w:after="0"/>
        <w:rPr>
          <w:b/>
        </w:rPr>
      </w:pPr>
      <w:r>
        <w:rPr>
          <w:b/>
        </w:rPr>
        <w:t xml:space="preserve">Example </w:t>
      </w:r>
      <w:r w:rsidR="0047319D">
        <w:rPr>
          <w:b/>
        </w:rPr>
        <w:t>R</w:t>
      </w:r>
      <w:r>
        <w:rPr>
          <w:b/>
        </w:rPr>
        <w:t xml:space="preserve">esident </w:t>
      </w:r>
      <w:r w:rsidR="0047319D">
        <w:rPr>
          <w:b/>
        </w:rPr>
        <w:t>S</w:t>
      </w:r>
      <w:r>
        <w:rPr>
          <w:b/>
        </w:rPr>
        <w:t>chedule:</w:t>
      </w:r>
    </w:p>
    <w:tbl>
      <w:tblPr>
        <w:tblStyle w:val="TableGrid"/>
        <w:tblW w:w="8959" w:type="dxa"/>
        <w:tblLook w:val="04A0" w:firstRow="1" w:lastRow="0" w:firstColumn="1" w:lastColumn="0" w:noHBand="0" w:noVBand="1"/>
      </w:tblPr>
      <w:tblGrid>
        <w:gridCol w:w="2038"/>
        <w:gridCol w:w="3330"/>
        <w:gridCol w:w="3591"/>
      </w:tblGrid>
      <w:tr w:rsidRPr="00D8360F" w:rsidR="00183312" w:rsidTr="00183312" w14:paraId="7B787781" w14:textId="77777777">
        <w:tc>
          <w:tcPr>
            <w:tcW w:w="2038" w:type="dxa"/>
            <w:vMerge w:val="restart"/>
            <w:shd w:val="clear" w:color="auto" w:fill="D9D9D9" w:themeFill="background1" w:themeFillShade="D9"/>
          </w:tcPr>
          <w:p w:rsidRPr="00D8360F" w:rsidR="00183312" w:rsidP="00183312" w:rsidRDefault="00183312" w14:paraId="5637D444" w14:textId="77777777">
            <w:pPr>
              <w:rPr>
                <w:b/>
              </w:rPr>
            </w:pPr>
            <w:r w:rsidRPr="00D8360F">
              <w:rPr>
                <w:b/>
              </w:rPr>
              <w:t xml:space="preserve">August </w:t>
            </w:r>
            <w:r>
              <w:rPr>
                <w:b/>
              </w:rPr>
              <w:t>5-Sept 20</w:t>
            </w:r>
          </w:p>
          <w:p w:rsidRPr="00D8360F" w:rsidR="00183312" w:rsidP="00183312" w:rsidRDefault="00183312" w14:paraId="36D7283E" w14:textId="77777777">
            <w:pPr>
              <w:rPr>
                <w:b/>
                <w:color w:val="4BACC6" w:themeColor="accent5"/>
              </w:rPr>
            </w:pPr>
            <w:r>
              <w:rPr>
                <w:b/>
                <w:color w:val="4BACC6" w:themeColor="accent5"/>
              </w:rPr>
              <w:t>RESIDENT 1</w:t>
            </w:r>
          </w:p>
        </w:tc>
        <w:tc>
          <w:tcPr>
            <w:tcW w:w="6921" w:type="dxa"/>
            <w:gridSpan w:val="2"/>
            <w:tcBorders>
              <w:bottom w:val="single" w:color="auto" w:sz="4" w:space="0"/>
            </w:tcBorders>
            <w:shd w:val="clear" w:color="auto" w:fill="D9D9D9" w:themeFill="background1" w:themeFillShade="D9"/>
          </w:tcPr>
          <w:p w:rsidRPr="00D8360F" w:rsidR="00183312" w:rsidP="00183312" w:rsidRDefault="00183312" w14:paraId="772FAFCE" w14:textId="77777777">
            <w:pPr>
              <w:jc w:val="center"/>
              <w:rPr>
                <w:b/>
              </w:rPr>
            </w:pPr>
            <w:r w:rsidRPr="00D8360F">
              <w:rPr>
                <w:b/>
              </w:rPr>
              <w:t>ROTATION</w:t>
            </w:r>
          </w:p>
        </w:tc>
      </w:tr>
      <w:tr w:rsidR="00183312" w:rsidTr="00183312" w14:paraId="6BEF42D6" w14:textId="77777777">
        <w:tc>
          <w:tcPr>
            <w:tcW w:w="2038" w:type="dxa"/>
            <w:vMerge/>
          </w:tcPr>
          <w:p w:rsidR="00183312" w:rsidP="00183312" w:rsidRDefault="00183312" w14:paraId="578D91DD" w14:textId="77777777"/>
        </w:tc>
        <w:tc>
          <w:tcPr>
            <w:tcW w:w="3330" w:type="dxa"/>
            <w:shd w:val="clear" w:color="auto" w:fill="F2F2F2" w:themeFill="background1" w:themeFillShade="F2"/>
          </w:tcPr>
          <w:p w:rsidR="00183312" w:rsidP="00183312" w:rsidRDefault="00183312" w14:paraId="6D21AAD1" w14:textId="77777777">
            <w:pPr>
              <w:jc w:val="center"/>
            </w:pPr>
            <w:r>
              <w:t>AM</w:t>
            </w:r>
          </w:p>
        </w:tc>
        <w:tc>
          <w:tcPr>
            <w:tcW w:w="3591" w:type="dxa"/>
            <w:shd w:val="clear" w:color="auto" w:fill="F2F2F2" w:themeFill="background1" w:themeFillShade="F2"/>
          </w:tcPr>
          <w:p w:rsidR="00183312" w:rsidP="00183312" w:rsidRDefault="00183312" w14:paraId="3FA30478" w14:textId="77777777">
            <w:pPr>
              <w:jc w:val="center"/>
            </w:pPr>
            <w:r>
              <w:t>PM</w:t>
            </w:r>
          </w:p>
        </w:tc>
      </w:tr>
      <w:tr w:rsidRPr="00BE7963" w:rsidR="00183312" w:rsidTr="00183312" w14:paraId="67DDB6A0" w14:textId="77777777">
        <w:tc>
          <w:tcPr>
            <w:tcW w:w="2038" w:type="dxa"/>
          </w:tcPr>
          <w:p w:rsidR="00183312" w:rsidP="00183312" w:rsidRDefault="00183312" w14:paraId="54E40460" w14:textId="77777777">
            <w:r>
              <w:t>Monday</w:t>
            </w:r>
          </w:p>
        </w:tc>
        <w:tc>
          <w:tcPr>
            <w:tcW w:w="3330" w:type="dxa"/>
            <w:vAlign w:val="center"/>
          </w:tcPr>
          <w:p w:rsidRPr="00687B86" w:rsidR="00183312" w:rsidP="00183312" w:rsidRDefault="00183312" w14:paraId="4A88C1CC" w14:textId="77777777">
            <w:pPr>
              <w:jc w:val="center"/>
              <w:rPr>
                <w:b/>
                <w:color w:val="000000" w:themeColor="text1"/>
              </w:rPr>
            </w:pPr>
            <w:r w:rsidRPr="00687B86">
              <w:rPr>
                <w:b/>
                <w:color w:val="000000" w:themeColor="text1"/>
              </w:rPr>
              <w:t>Consults</w:t>
            </w:r>
          </w:p>
        </w:tc>
        <w:tc>
          <w:tcPr>
            <w:tcW w:w="3591" w:type="dxa"/>
            <w:vAlign w:val="center"/>
          </w:tcPr>
          <w:p w:rsidRPr="00687B86" w:rsidR="00183312" w:rsidP="00183312" w:rsidRDefault="00183312" w14:paraId="7B7F90AA" w14:textId="77777777">
            <w:pPr>
              <w:jc w:val="center"/>
              <w:rPr>
                <w:color w:val="000000" w:themeColor="text1"/>
              </w:rPr>
            </w:pPr>
            <w:r w:rsidRPr="00687B86">
              <w:rPr>
                <w:color w:val="000000" w:themeColor="text1"/>
              </w:rPr>
              <w:t>Clinic (Sherwood)</w:t>
            </w:r>
          </w:p>
        </w:tc>
      </w:tr>
      <w:tr w:rsidR="00183312" w:rsidTr="00183312" w14:paraId="479B6D9C" w14:textId="77777777">
        <w:tc>
          <w:tcPr>
            <w:tcW w:w="2038" w:type="dxa"/>
          </w:tcPr>
          <w:p w:rsidR="00183312" w:rsidP="00183312" w:rsidRDefault="00183312" w14:paraId="3FB4157B" w14:textId="77777777">
            <w:r>
              <w:t>Tuesday</w:t>
            </w:r>
          </w:p>
        </w:tc>
        <w:tc>
          <w:tcPr>
            <w:tcW w:w="3330" w:type="dxa"/>
            <w:vAlign w:val="center"/>
          </w:tcPr>
          <w:p w:rsidRPr="00687B86" w:rsidR="00183312" w:rsidP="00183312" w:rsidRDefault="00183312" w14:paraId="7AA8E519" w14:textId="77777777">
            <w:pPr>
              <w:jc w:val="center"/>
              <w:rPr>
                <w:b/>
                <w:color w:val="00B0F0"/>
              </w:rPr>
            </w:pPr>
            <w:r w:rsidRPr="00687B86">
              <w:rPr>
                <w:b/>
                <w:color w:val="00B0F0"/>
              </w:rPr>
              <w:t>Project</w:t>
            </w:r>
          </w:p>
        </w:tc>
        <w:tc>
          <w:tcPr>
            <w:tcW w:w="3591" w:type="dxa"/>
            <w:vAlign w:val="center"/>
          </w:tcPr>
          <w:p w:rsidRPr="00687B86" w:rsidR="00183312" w:rsidP="00183312" w:rsidRDefault="00183312" w14:paraId="3C69F2FB" w14:textId="77777777">
            <w:pPr>
              <w:jc w:val="center"/>
              <w:rPr>
                <w:b/>
                <w:color w:val="FF0000"/>
              </w:rPr>
            </w:pPr>
            <w:r w:rsidRPr="00687B86">
              <w:rPr>
                <w:b/>
                <w:color w:val="FF0000"/>
              </w:rPr>
              <w:t>Virtual Clinic</w:t>
            </w:r>
          </w:p>
        </w:tc>
      </w:tr>
      <w:tr w:rsidR="00183312" w:rsidTr="00183312" w14:paraId="27854497" w14:textId="77777777">
        <w:tc>
          <w:tcPr>
            <w:tcW w:w="2038" w:type="dxa"/>
          </w:tcPr>
          <w:p w:rsidR="00183312" w:rsidP="00183312" w:rsidRDefault="00183312" w14:paraId="30C8DF20" w14:textId="77777777">
            <w:r>
              <w:t>Wednesday</w:t>
            </w:r>
          </w:p>
        </w:tc>
        <w:tc>
          <w:tcPr>
            <w:tcW w:w="3330" w:type="dxa"/>
            <w:vAlign w:val="center"/>
          </w:tcPr>
          <w:p w:rsidRPr="00687B86" w:rsidR="00183312" w:rsidP="00183312" w:rsidRDefault="00183312" w14:paraId="2524A638" w14:textId="77777777">
            <w:pPr>
              <w:jc w:val="center"/>
              <w:rPr>
                <w:color w:val="000000" w:themeColor="text1"/>
              </w:rPr>
            </w:pPr>
            <w:r w:rsidRPr="00687B86">
              <w:rPr>
                <w:color w:val="000000" w:themeColor="text1"/>
              </w:rPr>
              <w:t>Clinic (Sherwood)</w:t>
            </w:r>
          </w:p>
        </w:tc>
        <w:tc>
          <w:tcPr>
            <w:tcW w:w="3591" w:type="dxa"/>
            <w:vAlign w:val="center"/>
          </w:tcPr>
          <w:p w:rsidRPr="00687B86" w:rsidR="00183312" w:rsidP="00183312" w:rsidRDefault="00183312" w14:paraId="0A0972C9" w14:textId="77777777">
            <w:pPr>
              <w:jc w:val="center"/>
              <w:rPr>
                <w:b/>
                <w:color w:val="00B0F0"/>
              </w:rPr>
            </w:pPr>
            <w:r w:rsidRPr="00687B86">
              <w:rPr>
                <w:b/>
                <w:color w:val="00B0F0"/>
              </w:rPr>
              <w:t>Project</w:t>
            </w:r>
          </w:p>
        </w:tc>
      </w:tr>
      <w:tr w:rsidR="00183312" w:rsidTr="00183312" w14:paraId="02ACA73D" w14:textId="77777777">
        <w:tc>
          <w:tcPr>
            <w:tcW w:w="2038" w:type="dxa"/>
          </w:tcPr>
          <w:p w:rsidR="00183312" w:rsidP="00183312" w:rsidRDefault="00183312" w14:paraId="3EA517D7" w14:textId="77777777">
            <w:r>
              <w:t>Thursday</w:t>
            </w:r>
          </w:p>
        </w:tc>
        <w:tc>
          <w:tcPr>
            <w:tcW w:w="3330" w:type="dxa"/>
            <w:vAlign w:val="center"/>
          </w:tcPr>
          <w:p w:rsidRPr="00687B86" w:rsidR="00183312" w:rsidP="00183312" w:rsidRDefault="00183312" w14:paraId="5E907BC7" w14:textId="77777777">
            <w:pPr>
              <w:jc w:val="center"/>
              <w:rPr>
                <w:color w:val="000000" w:themeColor="text1"/>
              </w:rPr>
            </w:pPr>
            <w:r w:rsidRPr="00687B86">
              <w:rPr>
                <w:color w:val="000000" w:themeColor="text1"/>
              </w:rPr>
              <w:t>Clinic (Newberg)</w:t>
            </w:r>
          </w:p>
        </w:tc>
        <w:tc>
          <w:tcPr>
            <w:tcW w:w="3591" w:type="dxa"/>
            <w:vAlign w:val="center"/>
          </w:tcPr>
          <w:p w:rsidRPr="00687B86" w:rsidR="00183312" w:rsidP="00183312" w:rsidRDefault="00183312" w14:paraId="67E977FA" w14:textId="77777777">
            <w:pPr>
              <w:jc w:val="center"/>
              <w:rPr>
                <w:color w:val="000000" w:themeColor="text1"/>
              </w:rPr>
            </w:pPr>
            <w:r w:rsidRPr="00687B86">
              <w:rPr>
                <w:color w:val="000000" w:themeColor="text1"/>
              </w:rPr>
              <w:t>Clinic (Newberg)</w:t>
            </w:r>
          </w:p>
        </w:tc>
      </w:tr>
      <w:tr w:rsidR="00183312" w:rsidTr="00183312" w14:paraId="67AB62C1" w14:textId="77777777">
        <w:tc>
          <w:tcPr>
            <w:tcW w:w="2038" w:type="dxa"/>
          </w:tcPr>
          <w:p w:rsidR="00183312" w:rsidP="00183312" w:rsidRDefault="00183312" w14:paraId="3498747A" w14:textId="77777777">
            <w:r>
              <w:t>Friday</w:t>
            </w:r>
          </w:p>
        </w:tc>
        <w:tc>
          <w:tcPr>
            <w:tcW w:w="3330" w:type="dxa"/>
            <w:vAlign w:val="center"/>
          </w:tcPr>
          <w:p w:rsidRPr="00687B86" w:rsidR="00183312" w:rsidP="00183312" w:rsidRDefault="00183312" w14:paraId="57B93155" w14:textId="77777777">
            <w:pPr>
              <w:jc w:val="center"/>
              <w:rPr>
                <w:b/>
                <w:color w:val="FF0000"/>
              </w:rPr>
            </w:pPr>
            <w:r w:rsidRPr="00687B86">
              <w:rPr>
                <w:b/>
                <w:color w:val="FF0000"/>
              </w:rPr>
              <w:t>Virtual Clinic</w:t>
            </w:r>
          </w:p>
        </w:tc>
        <w:tc>
          <w:tcPr>
            <w:tcW w:w="3591" w:type="dxa"/>
            <w:vAlign w:val="center"/>
          </w:tcPr>
          <w:p w:rsidRPr="00687B86" w:rsidR="00183312" w:rsidP="00183312" w:rsidRDefault="00183312" w14:paraId="76A65F85" w14:textId="77777777">
            <w:pPr>
              <w:jc w:val="center"/>
              <w:rPr>
                <w:b/>
                <w:color w:val="00B0F0"/>
              </w:rPr>
            </w:pPr>
            <w:r w:rsidRPr="00687B86">
              <w:rPr>
                <w:b/>
                <w:color w:val="00B0F0"/>
              </w:rPr>
              <w:t>Project</w:t>
            </w:r>
          </w:p>
        </w:tc>
      </w:tr>
      <w:tr w:rsidRPr="00D8360F" w:rsidR="00183312" w:rsidTr="00183312" w14:paraId="15EB63FF" w14:textId="77777777">
        <w:tc>
          <w:tcPr>
            <w:tcW w:w="2038" w:type="dxa"/>
            <w:vMerge w:val="restart"/>
            <w:shd w:val="clear" w:color="auto" w:fill="D9D9D9" w:themeFill="background1" w:themeFillShade="D9"/>
          </w:tcPr>
          <w:p w:rsidRPr="00D8360F" w:rsidR="00183312" w:rsidP="00183312" w:rsidRDefault="00183312" w14:paraId="34F8869E" w14:textId="77777777">
            <w:pPr>
              <w:rPr>
                <w:b/>
              </w:rPr>
            </w:pPr>
            <w:r w:rsidRPr="00D8360F">
              <w:rPr>
                <w:b/>
              </w:rPr>
              <w:t xml:space="preserve">August </w:t>
            </w:r>
            <w:r>
              <w:rPr>
                <w:b/>
              </w:rPr>
              <w:t>5-Sept 20</w:t>
            </w:r>
          </w:p>
          <w:p w:rsidRPr="00D8360F" w:rsidR="00183312" w:rsidP="00183312" w:rsidRDefault="00183312" w14:paraId="3D512295" w14:textId="77777777">
            <w:pPr>
              <w:rPr>
                <w:b/>
                <w:color w:val="C0504D" w:themeColor="accent2"/>
              </w:rPr>
            </w:pPr>
            <w:r>
              <w:rPr>
                <w:b/>
                <w:color w:val="C0504D" w:themeColor="accent2"/>
              </w:rPr>
              <w:t>RESIDENT 2</w:t>
            </w:r>
          </w:p>
        </w:tc>
        <w:tc>
          <w:tcPr>
            <w:tcW w:w="6921" w:type="dxa"/>
            <w:gridSpan w:val="2"/>
            <w:tcBorders>
              <w:bottom w:val="single" w:color="auto" w:sz="4" w:space="0"/>
            </w:tcBorders>
            <w:shd w:val="clear" w:color="auto" w:fill="D9D9D9" w:themeFill="background1" w:themeFillShade="D9"/>
          </w:tcPr>
          <w:p w:rsidRPr="00D8360F" w:rsidR="00183312" w:rsidP="00183312" w:rsidRDefault="00183312" w14:paraId="6CA87708" w14:textId="77777777">
            <w:pPr>
              <w:jc w:val="center"/>
              <w:rPr>
                <w:b/>
              </w:rPr>
            </w:pPr>
            <w:r w:rsidRPr="00D8360F">
              <w:rPr>
                <w:b/>
              </w:rPr>
              <w:t>ROTATION</w:t>
            </w:r>
          </w:p>
        </w:tc>
      </w:tr>
      <w:tr w:rsidR="00183312" w:rsidTr="00183312" w14:paraId="3184FBBF" w14:textId="77777777">
        <w:tc>
          <w:tcPr>
            <w:tcW w:w="2038" w:type="dxa"/>
            <w:vMerge/>
          </w:tcPr>
          <w:p w:rsidR="00183312" w:rsidP="00183312" w:rsidRDefault="00183312" w14:paraId="0267EB4F" w14:textId="77777777"/>
        </w:tc>
        <w:tc>
          <w:tcPr>
            <w:tcW w:w="3330" w:type="dxa"/>
            <w:shd w:val="clear" w:color="auto" w:fill="F2F2F2" w:themeFill="background1" w:themeFillShade="F2"/>
          </w:tcPr>
          <w:p w:rsidR="00183312" w:rsidP="00183312" w:rsidRDefault="00183312" w14:paraId="67BAD59E" w14:textId="77777777">
            <w:pPr>
              <w:jc w:val="center"/>
            </w:pPr>
            <w:r>
              <w:t>AM</w:t>
            </w:r>
          </w:p>
        </w:tc>
        <w:tc>
          <w:tcPr>
            <w:tcW w:w="3591" w:type="dxa"/>
            <w:shd w:val="clear" w:color="auto" w:fill="F2F2F2" w:themeFill="background1" w:themeFillShade="F2"/>
          </w:tcPr>
          <w:p w:rsidR="00183312" w:rsidP="00183312" w:rsidRDefault="00183312" w14:paraId="05A1F6C8" w14:textId="77777777">
            <w:pPr>
              <w:jc w:val="center"/>
            </w:pPr>
            <w:r>
              <w:t>PM</w:t>
            </w:r>
          </w:p>
        </w:tc>
      </w:tr>
      <w:tr w:rsidRPr="00372C28" w:rsidR="00183312" w:rsidTr="00183312" w14:paraId="21A3BB9C" w14:textId="77777777">
        <w:tc>
          <w:tcPr>
            <w:tcW w:w="2038" w:type="dxa"/>
          </w:tcPr>
          <w:p w:rsidR="00183312" w:rsidP="00183312" w:rsidRDefault="00183312" w14:paraId="55BAA4DA" w14:textId="77777777">
            <w:r>
              <w:t>Monday</w:t>
            </w:r>
          </w:p>
        </w:tc>
        <w:tc>
          <w:tcPr>
            <w:tcW w:w="3330" w:type="dxa"/>
            <w:vAlign w:val="center"/>
          </w:tcPr>
          <w:p w:rsidRPr="00687B86" w:rsidR="00183312" w:rsidP="00183312" w:rsidRDefault="00183312" w14:paraId="7453308F" w14:textId="77777777">
            <w:pPr>
              <w:jc w:val="center"/>
              <w:rPr>
                <w:b/>
                <w:color w:val="00B0F0"/>
              </w:rPr>
            </w:pPr>
            <w:r w:rsidRPr="00687B86">
              <w:rPr>
                <w:b/>
                <w:color w:val="00B0F0"/>
              </w:rPr>
              <w:t>Project</w:t>
            </w:r>
          </w:p>
        </w:tc>
        <w:tc>
          <w:tcPr>
            <w:tcW w:w="3591" w:type="dxa"/>
            <w:vAlign w:val="center"/>
          </w:tcPr>
          <w:p w:rsidRPr="00687B86" w:rsidR="00183312" w:rsidP="00183312" w:rsidRDefault="00183312" w14:paraId="367AD755" w14:textId="77777777">
            <w:pPr>
              <w:jc w:val="center"/>
            </w:pPr>
            <w:r w:rsidRPr="00687B86">
              <w:t>Clinic (Bridgeport)</w:t>
            </w:r>
          </w:p>
        </w:tc>
      </w:tr>
      <w:tr w:rsidR="00183312" w:rsidTr="00183312" w14:paraId="31687AA0" w14:textId="77777777">
        <w:tc>
          <w:tcPr>
            <w:tcW w:w="2038" w:type="dxa"/>
          </w:tcPr>
          <w:p w:rsidR="00183312" w:rsidP="00183312" w:rsidRDefault="00183312" w14:paraId="21612072" w14:textId="77777777">
            <w:r>
              <w:t>Tuesday</w:t>
            </w:r>
          </w:p>
        </w:tc>
        <w:tc>
          <w:tcPr>
            <w:tcW w:w="3330" w:type="dxa"/>
            <w:vAlign w:val="center"/>
          </w:tcPr>
          <w:p w:rsidRPr="00687B86" w:rsidR="00183312" w:rsidP="00183312" w:rsidRDefault="00183312" w14:paraId="262687E9" w14:textId="77777777">
            <w:pPr>
              <w:jc w:val="center"/>
              <w:rPr>
                <w:b/>
                <w:color w:val="00B0F0"/>
              </w:rPr>
            </w:pPr>
            <w:r w:rsidRPr="00687B86">
              <w:rPr>
                <w:b/>
                <w:color w:val="00B0F0"/>
              </w:rPr>
              <w:t>Project</w:t>
            </w:r>
          </w:p>
        </w:tc>
        <w:tc>
          <w:tcPr>
            <w:tcW w:w="3591" w:type="dxa"/>
            <w:vAlign w:val="center"/>
          </w:tcPr>
          <w:p w:rsidRPr="00687B86" w:rsidR="00183312" w:rsidP="00183312" w:rsidRDefault="00183312" w14:paraId="2F38CEF6" w14:textId="77777777">
            <w:pPr>
              <w:jc w:val="center"/>
              <w:rPr>
                <w:color w:val="FF0000"/>
              </w:rPr>
            </w:pPr>
            <w:r w:rsidRPr="00687B86">
              <w:rPr>
                <w:b/>
                <w:color w:val="FF0000"/>
              </w:rPr>
              <w:t>Virtual Clinic</w:t>
            </w:r>
          </w:p>
        </w:tc>
      </w:tr>
      <w:tr w:rsidRPr="00C5652B" w:rsidR="00183312" w:rsidTr="00183312" w14:paraId="54CF4675" w14:textId="77777777">
        <w:tc>
          <w:tcPr>
            <w:tcW w:w="2038" w:type="dxa"/>
          </w:tcPr>
          <w:p w:rsidR="00183312" w:rsidP="00183312" w:rsidRDefault="00183312" w14:paraId="10351C00" w14:textId="77777777">
            <w:r>
              <w:t>Wednesday</w:t>
            </w:r>
          </w:p>
        </w:tc>
        <w:tc>
          <w:tcPr>
            <w:tcW w:w="3330" w:type="dxa"/>
            <w:vAlign w:val="center"/>
          </w:tcPr>
          <w:p w:rsidRPr="00687B86" w:rsidR="00183312" w:rsidP="00183312" w:rsidRDefault="00183312" w14:paraId="607FF79A" w14:textId="77777777">
            <w:pPr>
              <w:jc w:val="center"/>
              <w:rPr>
                <w:b/>
                <w:color w:val="FF0000"/>
              </w:rPr>
            </w:pPr>
            <w:r w:rsidRPr="00687B86">
              <w:rPr>
                <w:b/>
                <w:color w:val="FF0000"/>
              </w:rPr>
              <w:t>Virtual Clinic</w:t>
            </w:r>
          </w:p>
        </w:tc>
        <w:tc>
          <w:tcPr>
            <w:tcW w:w="3591" w:type="dxa"/>
            <w:vAlign w:val="center"/>
          </w:tcPr>
          <w:p w:rsidRPr="00687B86" w:rsidR="00183312" w:rsidP="00183312" w:rsidRDefault="00183312" w14:paraId="284AB35A" w14:textId="77777777">
            <w:pPr>
              <w:jc w:val="center"/>
              <w:rPr>
                <w:b/>
                <w:color w:val="00B0F0"/>
              </w:rPr>
            </w:pPr>
            <w:r w:rsidRPr="00687B86">
              <w:rPr>
                <w:b/>
                <w:color w:val="00B0F0"/>
              </w:rPr>
              <w:t>Project</w:t>
            </w:r>
          </w:p>
        </w:tc>
      </w:tr>
      <w:tr w:rsidRPr="00C5652B" w:rsidR="00183312" w:rsidTr="00183312" w14:paraId="205EACE6" w14:textId="77777777">
        <w:tc>
          <w:tcPr>
            <w:tcW w:w="2038" w:type="dxa"/>
          </w:tcPr>
          <w:p w:rsidR="00183312" w:rsidP="00183312" w:rsidRDefault="00183312" w14:paraId="2ECECA46" w14:textId="77777777">
            <w:r>
              <w:t>Thursday</w:t>
            </w:r>
          </w:p>
        </w:tc>
        <w:tc>
          <w:tcPr>
            <w:tcW w:w="3330" w:type="dxa"/>
            <w:vAlign w:val="center"/>
          </w:tcPr>
          <w:p w:rsidRPr="00687B86" w:rsidR="00183312" w:rsidP="00183312" w:rsidRDefault="00183312" w14:paraId="4E32BC1E" w14:textId="77777777">
            <w:pPr>
              <w:jc w:val="center"/>
              <w:rPr>
                <w:color w:val="000000" w:themeColor="text1"/>
              </w:rPr>
            </w:pPr>
            <w:r w:rsidRPr="00687B86">
              <w:rPr>
                <w:color w:val="000000" w:themeColor="text1"/>
              </w:rPr>
              <w:t>Clinic (Northeast)</w:t>
            </w:r>
          </w:p>
        </w:tc>
        <w:tc>
          <w:tcPr>
            <w:tcW w:w="3591" w:type="dxa"/>
            <w:vAlign w:val="center"/>
          </w:tcPr>
          <w:p w:rsidRPr="00C5652B" w:rsidR="00183312" w:rsidP="00183312" w:rsidRDefault="00183312" w14:paraId="0B6798D4" w14:textId="77777777">
            <w:pPr>
              <w:jc w:val="center"/>
            </w:pPr>
            <w:r>
              <w:t>Clinic (Northeast)</w:t>
            </w:r>
          </w:p>
        </w:tc>
      </w:tr>
      <w:tr w:rsidR="00183312" w:rsidTr="00183312" w14:paraId="073F95BA" w14:textId="77777777">
        <w:tc>
          <w:tcPr>
            <w:tcW w:w="2038" w:type="dxa"/>
          </w:tcPr>
          <w:p w:rsidR="00183312" w:rsidP="00183312" w:rsidRDefault="00183312" w14:paraId="6B1BA9A7" w14:textId="77777777">
            <w:r>
              <w:t>Friday</w:t>
            </w:r>
          </w:p>
        </w:tc>
        <w:tc>
          <w:tcPr>
            <w:tcW w:w="3330" w:type="dxa"/>
            <w:vAlign w:val="center"/>
          </w:tcPr>
          <w:p w:rsidRPr="00687B86" w:rsidR="00183312" w:rsidP="00183312" w:rsidRDefault="00183312" w14:paraId="1F484B0E" w14:textId="77777777">
            <w:pPr>
              <w:jc w:val="center"/>
              <w:rPr>
                <w:color w:val="000000" w:themeColor="text1"/>
              </w:rPr>
            </w:pPr>
            <w:r w:rsidRPr="00687B86">
              <w:rPr>
                <w:color w:val="000000" w:themeColor="text1"/>
              </w:rPr>
              <w:t>Clinic (Northeast)</w:t>
            </w:r>
          </w:p>
        </w:tc>
        <w:tc>
          <w:tcPr>
            <w:tcW w:w="3591" w:type="dxa"/>
            <w:vAlign w:val="center"/>
          </w:tcPr>
          <w:p w:rsidRPr="00687B86" w:rsidR="00183312" w:rsidP="00183312" w:rsidRDefault="00183312" w14:paraId="33741468" w14:textId="77777777">
            <w:pPr>
              <w:jc w:val="center"/>
              <w:rPr>
                <w:color w:val="000000" w:themeColor="text1"/>
              </w:rPr>
            </w:pPr>
            <w:r w:rsidRPr="00687B86">
              <w:rPr>
                <w:b/>
                <w:color w:val="000000" w:themeColor="text1"/>
              </w:rPr>
              <w:t>Consults</w:t>
            </w:r>
          </w:p>
        </w:tc>
      </w:tr>
    </w:tbl>
    <w:p w:rsidR="00855EF3" w:rsidP="0047319D" w:rsidRDefault="003B52AD" w14:paraId="4D0C00AE" w14:textId="3068D96A">
      <w:pPr>
        <w:spacing w:after="0"/>
      </w:pPr>
      <w:r>
        <w:t>#</w:t>
      </w:r>
      <w:r w:rsidR="009D36FC">
        <w:t xml:space="preserve">Virtual clinic = telephone clinic </w:t>
      </w:r>
    </w:p>
    <w:p w:rsidR="00255783" w:rsidP="00F82DCD" w:rsidRDefault="00255783" w14:paraId="3FA8D3DA" w14:textId="1A34C449">
      <w:pPr>
        <w:autoSpaceDE w:val="0"/>
        <w:autoSpaceDN w:val="0"/>
        <w:adjustRightInd w:val="0"/>
        <w:spacing w:after="0"/>
        <w:outlineLvl w:val="0"/>
        <w:rPr>
          <w:rFonts w:cs="Arial"/>
          <w:b/>
          <w:color w:val="17365D" w:themeColor="text2" w:themeShade="BF"/>
          <w:sz w:val="28"/>
          <w:szCs w:val="28"/>
          <w:u w:val="single"/>
        </w:rPr>
      </w:pPr>
    </w:p>
    <w:p w:rsidR="00DE583A" w:rsidP="00F82DCD" w:rsidRDefault="00DE583A" w14:paraId="6CF55117" w14:textId="77777777">
      <w:pPr>
        <w:autoSpaceDE w:val="0"/>
        <w:autoSpaceDN w:val="0"/>
        <w:adjustRightInd w:val="0"/>
        <w:spacing w:after="0"/>
        <w:outlineLvl w:val="0"/>
        <w:rPr>
          <w:rFonts w:cs="Arial"/>
          <w:b/>
          <w:color w:val="17365D" w:themeColor="text2" w:themeShade="BF"/>
          <w:sz w:val="28"/>
          <w:szCs w:val="28"/>
          <w:u w:val="single"/>
        </w:rPr>
      </w:pPr>
    </w:p>
    <w:p w:rsidRPr="00053B41" w:rsidR="00B7056D" w:rsidP="00F82DCD" w:rsidRDefault="00053B41" w14:paraId="6068E4E6" w14:textId="77AF6EFA">
      <w:pPr>
        <w:autoSpaceDE w:val="0"/>
        <w:autoSpaceDN w:val="0"/>
        <w:adjustRightInd w:val="0"/>
        <w:spacing w:after="0"/>
        <w:outlineLvl w:val="0"/>
        <w:rPr>
          <w:rFonts w:cs="Arial"/>
          <w:b/>
          <w:color w:val="17365D" w:themeColor="text2" w:themeShade="BF"/>
          <w:sz w:val="28"/>
          <w:szCs w:val="28"/>
          <w:u w:val="single"/>
        </w:rPr>
      </w:pPr>
      <w:r>
        <w:rPr>
          <w:rFonts w:cs="Arial"/>
          <w:b/>
          <w:color w:val="17365D" w:themeColor="text2" w:themeShade="BF"/>
          <w:sz w:val="28"/>
          <w:szCs w:val="28"/>
          <w:u w:val="single"/>
        </w:rPr>
        <w:t>General Information</w:t>
      </w:r>
    </w:p>
    <w:p w:rsidRPr="0039397D" w:rsidR="00B7056D" w:rsidP="00F82DCD" w:rsidRDefault="00B7056D" w14:paraId="332238A7" w14:textId="77777777">
      <w:pPr>
        <w:autoSpaceDE w:val="0"/>
        <w:autoSpaceDN w:val="0"/>
        <w:adjustRightInd w:val="0"/>
        <w:spacing w:after="0"/>
        <w:outlineLvl w:val="0"/>
        <w:rPr>
          <w:rFonts w:cs="Arial"/>
          <w:b/>
        </w:rPr>
      </w:pPr>
      <w:r w:rsidRPr="0039397D">
        <w:rPr>
          <w:rFonts w:cs="Arial"/>
          <w:b/>
        </w:rPr>
        <w:t>Benefits</w:t>
      </w:r>
    </w:p>
    <w:p w:rsidRPr="00B658EC" w:rsidR="00B7056D" w:rsidP="00B658EC" w:rsidRDefault="00053B41" w14:paraId="42E42420" w14:textId="297FBB19">
      <w:pPr>
        <w:pStyle w:val="ListParagraph"/>
        <w:numPr>
          <w:ilvl w:val="0"/>
          <w:numId w:val="39"/>
        </w:numPr>
        <w:rPr>
          <w:rFonts w:ascii="Segoe UI" w:hAnsi="Segoe UI" w:eastAsia="Times New Roman" w:cs="Segoe UI"/>
          <w:sz w:val="21"/>
          <w:szCs w:val="21"/>
        </w:rPr>
      </w:pPr>
      <w:r w:rsidRPr="00B658EC">
        <w:rPr>
          <w:rFonts w:cs="Arial"/>
        </w:rPr>
        <w:t>Stipend</w:t>
      </w:r>
      <w:r w:rsidRPr="00B658EC" w:rsidR="00B7056D">
        <w:rPr>
          <w:rFonts w:cs="Arial"/>
        </w:rPr>
        <w:t xml:space="preserve"> </w:t>
      </w:r>
      <w:r w:rsidRPr="00B658EC" w:rsidR="00B658EC">
        <w:rPr>
          <w:rFonts w:ascii="Segoe UI" w:hAnsi="Segoe UI" w:eastAsia="Times New Roman" w:cs="Segoe UI"/>
          <w:sz w:val="21"/>
          <w:szCs w:val="21"/>
        </w:rPr>
        <w:t>$57,720</w:t>
      </w:r>
    </w:p>
    <w:p w:rsidRPr="0039397D" w:rsidR="00B7056D" w:rsidP="00F82DCD" w:rsidRDefault="00B7056D" w14:paraId="454AC813" w14:textId="77777777">
      <w:pPr>
        <w:pStyle w:val="ListParagraph"/>
        <w:numPr>
          <w:ilvl w:val="0"/>
          <w:numId w:val="10"/>
        </w:numPr>
        <w:spacing w:after="0"/>
        <w:rPr>
          <w:rFonts w:cs="Arial"/>
        </w:rPr>
      </w:pPr>
      <w:r w:rsidRPr="0039397D">
        <w:rPr>
          <w:rFonts w:cs="Arial"/>
        </w:rPr>
        <w:t>Comprehensive medical, dental, vision, long-term disability and life insurance</w:t>
      </w:r>
      <w:r w:rsidR="009E67CC">
        <w:rPr>
          <w:rFonts w:cs="Arial"/>
        </w:rPr>
        <w:t xml:space="preserve"> in accordance with Providence Health and Services Oregon benefits</w:t>
      </w:r>
    </w:p>
    <w:p w:rsidRPr="0039397D" w:rsidR="00B7056D" w:rsidP="00F82DCD" w:rsidRDefault="00B7056D" w14:paraId="60EA62AF" w14:textId="1D5B68E9">
      <w:pPr>
        <w:pStyle w:val="ListParagraph"/>
        <w:numPr>
          <w:ilvl w:val="0"/>
          <w:numId w:val="10"/>
        </w:numPr>
        <w:spacing w:after="0"/>
        <w:rPr>
          <w:rFonts w:cs="Arial"/>
        </w:rPr>
      </w:pPr>
      <w:r w:rsidRPr="63816CB0">
        <w:rPr>
          <w:rFonts w:cs="Arial"/>
        </w:rPr>
        <w:t>2</w:t>
      </w:r>
      <w:r w:rsidRPr="63816CB0" w:rsidR="003D2E26">
        <w:rPr>
          <w:rFonts w:cs="Arial"/>
        </w:rPr>
        <w:t>3</w:t>
      </w:r>
      <w:r w:rsidRPr="63816CB0">
        <w:rPr>
          <w:rFonts w:cs="Arial"/>
        </w:rPr>
        <w:t xml:space="preserve"> days of paid time off (PTO)</w:t>
      </w:r>
      <w:r w:rsidRPr="63816CB0" w:rsidR="009E67CC">
        <w:rPr>
          <w:rFonts w:cs="Arial"/>
        </w:rPr>
        <w:t>. S</w:t>
      </w:r>
      <w:r w:rsidRPr="63816CB0" w:rsidR="2AB68CD2">
        <w:rPr>
          <w:rFonts w:cs="Arial"/>
        </w:rPr>
        <w:t>even</w:t>
      </w:r>
      <w:r w:rsidRPr="63816CB0" w:rsidR="009E67CC">
        <w:rPr>
          <w:rFonts w:cs="Arial"/>
        </w:rPr>
        <w:t xml:space="preserve"> of these days are used for mandatory holiday periods (New Year’s Day, </w:t>
      </w:r>
      <w:r w:rsidRPr="63816CB0" w:rsidR="6F3DD645">
        <w:rPr>
          <w:rFonts w:cs="Arial"/>
        </w:rPr>
        <w:t xml:space="preserve">MLK Day, </w:t>
      </w:r>
      <w:r w:rsidRPr="63816CB0" w:rsidR="009E67CC">
        <w:rPr>
          <w:rFonts w:cs="Arial"/>
        </w:rPr>
        <w:t xml:space="preserve">Memorial Day, Fourth of July, Labor Day, Thanksgiving, Christmas). </w:t>
      </w:r>
    </w:p>
    <w:p w:rsidRPr="0039397D" w:rsidR="00B7056D" w:rsidP="00F82DCD" w:rsidRDefault="00B7056D" w14:paraId="1AD8AEFD" w14:textId="77777777">
      <w:pPr>
        <w:pStyle w:val="ListParagraph"/>
        <w:numPr>
          <w:ilvl w:val="0"/>
          <w:numId w:val="10"/>
        </w:numPr>
        <w:spacing w:after="0"/>
        <w:rPr>
          <w:rFonts w:cs="Arial"/>
        </w:rPr>
      </w:pPr>
      <w:r w:rsidRPr="0039397D">
        <w:rPr>
          <w:rFonts w:cs="Arial"/>
        </w:rPr>
        <w:t>5 Continuing Education days (may be used in lieu of PTO for attendance at all day CE events or professional organization meetings in which CE is obtained)</w:t>
      </w:r>
    </w:p>
    <w:p w:rsidRPr="0039397D" w:rsidR="00B7056D" w:rsidP="00F82DCD" w:rsidRDefault="00B7056D" w14:paraId="05BDEA78" w14:textId="77777777">
      <w:pPr>
        <w:pStyle w:val="ListParagraph"/>
        <w:numPr>
          <w:ilvl w:val="0"/>
          <w:numId w:val="10"/>
        </w:numPr>
        <w:spacing w:after="0"/>
        <w:rPr>
          <w:rFonts w:cs="Arial"/>
        </w:rPr>
      </w:pPr>
      <w:r w:rsidRPr="0039397D">
        <w:rPr>
          <w:rFonts w:cs="Arial"/>
        </w:rPr>
        <w:t>Travel accommodations for pharmacy-related national meetings (stipend)</w:t>
      </w:r>
    </w:p>
    <w:p w:rsidRPr="0039397D" w:rsidR="00B7056D" w:rsidP="00F82DCD" w:rsidRDefault="00B7056D" w14:paraId="61D8A6CD" w14:textId="31F6B16A">
      <w:pPr>
        <w:pStyle w:val="ListParagraph"/>
        <w:numPr>
          <w:ilvl w:val="0"/>
          <w:numId w:val="10"/>
        </w:numPr>
        <w:spacing w:after="0"/>
        <w:rPr>
          <w:rFonts w:cs="Arial"/>
        </w:rPr>
      </w:pPr>
      <w:r w:rsidRPr="0039397D">
        <w:rPr>
          <w:rFonts w:cs="Arial"/>
        </w:rPr>
        <w:t>Public transportation pass</w:t>
      </w:r>
      <w:r w:rsidR="001D01CD">
        <w:rPr>
          <w:rFonts w:cs="Arial"/>
        </w:rPr>
        <w:t>*</w:t>
      </w:r>
    </w:p>
    <w:p w:rsidRPr="0039397D" w:rsidR="00B7056D" w:rsidP="00F82DCD" w:rsidRDefault="00B7056D" w14:paraId="4F8402EE" w14:textId="0A643E22">
      <w:pPr>
        <w:pStyle w:val="ListParagraph"/>
        <w:numPr>
          <w:ilvl w:val="0"/>
          <w:numId w:val="10"/>
        </w:numPr>
        <w:spacing w:after="0"/>
        <w:rPr>
          <w:rFonts w:cs="Arial"/>
        </w:rPr>
      </w:pPr>
      <w:r w:rsidRPr="0039397D">
        <w:rPr>
          <w:rFonts w:cs="Arial"/>
        </w:rPr>
        <w:t>Additional benefits as described in the P</w:t>
      </w:r>
      <w:r w:rsidR="004B053A">
        <w:rPr>
          <w:rFonts w:cs="Arial"/>
        </w:rPr>
        <w:t xml:space="preserve">SJH </w:t>
      </w:r>
      <w:r w:rsidRPr="0039397D">
        <w:rPr>
          <w:rFonts w:cs="Arial"/>
        </w:rPr>
        <w:t>Benefit Handbook</w:t>
      </w:r>
    </w:p>
    <w:p w:rsidRPr="009C548C" w:rsidR="00B7056D" w:rsidP="00F82DCD" w:rsidRDefault="00B7056D" w14:paraId="167132FD" w14:textId="77777777">
      <w:pPr>
        <w:autoSpaceDE w:val="0"/>
        <w:autoSpaceDN w:val="0"/>
        <w:adjustRightInd w:val="0"/>
        <w:spacing w:after="0"/>
        <w:rPr>
          <w:rFonts w:cs="Arial"/>
          <w:b/>
          <w:sz w:val="18"/>
          <w:szCs w:val="18"/>
        </w:rPr>
      </w:pPr>
    </w:p>
    <w:p w:rsidRPr="0039397D" w:rsidR="00B7056D" w:rsidP="00F82DCD" w:rsidRDefault="00B7056D" w14:paraId="0FBDD52D" w14:textId="77777777">
      <w:pPr>
        <w:autoSpaceDE w:val="0"/>
        <w:autoSpaceDN w:val="0"/>
        <w:adjustRightInd w:val="0"/>
        <w:spacing w:after="0"/>
        <w:outlineLvl w:val="0"/>
        <w:rPr>
          <w:rFonts w:cs="Arial"/>
          <w:b/>
        </w:rPr>
      </w:pPr>
      <w:r w:rsidRPr="0039397D">
        <w:rPr>
          <w:rFonts w:cs="Arial"/>
          <w:b/>
        </w:rPr>
        <w:t>Vacation/Sick Days/Personal days</w:t>
      </w:r>
    </w:p>
    <w:p w:rsidRPr="0039397D" w:rsidR="009D42F2" w:rsidP="00F82DCD" w:rsidRDefault="00232334" w14:paraId="42834C7D" w14:textId="3C2B350C">
      <w:pPr>
        <w:pStyle w:val="ListParagraph"/>
        <w:numPr>
          <w:ilvl w:val="0"/>
          <w:numId w:val="11"/>
        </w:numPr>
        <w:autoSpaceDE w:val="0"/>
        <w:autoSpaceDN w:val="0"/>
        <w:adjustRightInd w:val="0"/>
        <w:spacing w:after="0"/>
        <w:rPr>
          <w:rFonts w:cs="Arial"/>
        </w:rPr>
      </w:pPr>
      <w:r>
        <w:rPr>
          <w:rFonts w:cs="Arial"/>
        </w:rPr>
        <w:t>D</w:t>
      </w:r>
      <w:r w:rsidR="009D42F2">
        <w:rPr>
          <w:rFonts w:cs="Arial"/>
        </w:rPr>
        <w:t>uring the last 2 weeks of residency</w:t>
      </w:r>
      <w:r>
        <w:rPr>
          <w:rFonts w:cs="Arial"/>
        </w:rPr>
        <w:t xml:space="preserve"> only 1 day of PTO may be taken</w:t>
      </w:r>
      <w:r w:rsidR="00D2689E">
        <w:rPr>
          <w:rFonts w:cs="Arial"/>
        </w:rPr>
        <w:t>.</w:t>
      </w:r>
    </w:p>
    <w:p w:rsidRPr="0039397D" w:rsidR="00B7056D" w:rsidP="00F82DCD" w:rsidRDefault="00B7056D" w14:paraId="421A1DD8" w14:textId="064DC8C2">
      <w:pPr>
        <w:pStyle w:val="ListParagraph"/>
        <w:numPr>
          <w:ilvl w:val="0"/>
          <w:numId w:val="11"/>
        </w:numPr>
        <w:autoSpaceDE w:val="0"/>
        <w:autoSpaceDN w:val="0"/>
        <w:adjustRightInd w:val="0"/>
        <w:spacing w:after="0"/>
        <w:rPr>
          <w:rFonts w:cs="Arial"/>
        </w:rPr>
      </w:pPr>
      <w:r w:rsidRPr="0039397D">
        <w:rPr>
          <w:rFonts w:cs="Arial"/>
        </w:rPr>
        <w:t>The resident will send all PTO request</w:t>
      </w:r>
      <w:r w:rsidR="004B053A">
        <w:rPr>
          <w:rFonts w:cs="Arial"/>
        </w:rPr>
        <w:t>s</w:t>
      </w:r>
      <w:r w:rsidRPr="0039397D">
        <w:rPr>
          <w:rFonts w:cs="Arial"/>
        </w:rPr>
        <w:t xml:space="preserve"> to </w:t>
      </w:r>
      <w:r w:rsidR="009E67CC">
        <w:rPr>
          <w:rFonts w:cs="Arial"/>
        </w:rPr>
        <w:t xml:space="preserve">BOTH </w:t>
      </w:r>
      <w:r w:rsidRPr="0039397D">
        <w:rPr>
          <w:rFonts w:cs="Arial"/>
        </w:rPr>
        <w:t xml:space="preserve">the OR PMG Pharm Calendar </w:t>
      </w:r>
      <w:r w:rsidR="009E67CC">
        <w:rPr>
          <w:rFonts w:cs="Arial"/>
        </w:rPr>
        <w:t xml:space="preserve">as well as the RPD </w:t>
      </w:r>
      <w:r w:rsidRPr="0039397D">
        <w:rPr>
          <w:rFonts w:cs="Arial"/>
        </w:rPr>
        <w:t xml:space="preserve">in Outlook. At least 2 </w:t>
      </w:r>
      <w:r w:rsidRPr="0039397D" w:rsidR="009833C8">
        <w:rPr>
          <w:rFonts w:cs="Arial"/>
        </w:rPr>
        <w:t>weeks’</w:t>
      </w:r>
      <w:r w:rsidRPr="0039397D">
        <w:rPr>
          <w:rFonts w:cs="Arial"/>
        </w:rPr>
        <w:t xml:space="preserve"> notice of planned PTO is required.</w:t>
      </w:r>
      <w:r w:rsidRPr="0039397D" w:rsidR="009833C8">
        <w:rPr>
          <w:rFonts w:cs="Arial"/>
        </w:rPr>
        <w:t xml:space="preserve"> The resident will notify their rotation preceptor of any </w:t>
      </w:r>
      <w:r w:rsidR="000A511C">
        <w:rPr>
          <w:rFonts w:cs="Arial"/>
        </w:rPr>
        <w:t>PTO.</w:t>
      </w:r>
    </w:p>
    <w:p w:rsidRPr="0039397D" w:rsidR="00B7056D" w:rsidP="00F82DCD" w:rsidRDefault="00B7056D" w14:paraId="7EF7C2E1" w14:textId="77777777">
      <w:pPr>
        <w:pStyle w:val="ListParagraph"/>
        <w:numPr>
          <w:ilvl w:val="0"/>
          <w:numId w:val="11"/>
        </w:numPr>
        <w:autoSpaceDE w:val="0"/>
        <w:autoSpaceDN w:val="0"/>
        <w:adjustRightInd w:val="0"/>
        <w:spacing w:after="0"/>
        <w:rPr>
          <w:rFonts w:cs="Arial"/>
        </w:rPr>
      </w:pPr>
      <w:r w:rsidRPr="0039397D">
        <w:rPr>
          <w:rFonts w:cs="Arial"/>
        </w:rPr>
        <w:t xml:space="preserve">The </w:t>
      </w:r>
      <w:r w:rsidR="0078071A">
        <w:rPr>
          <w:rFonts w:cs="Arial"/>
        </w:rPr>
        <w:t>Pharmacist Manager and RPD</w:t>
      </w:r>
      <w:r w:rsidRPr="0039397D">
        <w:rPr>
          <w:rFonts w:cs="Arial"/>
        </w:rPr>
        <w:t xml:space="preserve"> will review and approve or disapprove all PTO requests. Concerns over PTO should be directed to the </w:t>
      </w:r>
      <w:r w:rsidR="009C548C">
        <w:rPr>
          <w:rFonts w:cs="Arial"/>
        </w:rPr>
        <w:t>Pharmacist Manager.</w:t>
      </w:r>
    </w:p>
    <w:p w:rsidRPr="0039397D" w:rsidR="000E482B" w:rsidP="00F82DCD" w:rsidRDefault="000E482B" w14:paraId="01FC22A9" w14:textId="42B04623">
      <w:pPr>
        <w:pStyle w:val="ListParagraph"/>
        <w:numPr>
          <w:ilvl w:val="0"/>
          <w:numId w:val="11"/>
        </w:numPr>
        <w:autoSpaceDE w:val="0"/>
        <w:autoSpaceDN w:val="0"/>
        <w:adjustRightInd w:val="0"/>
        <w:spacing w:after="0"/>
        <w:rPr>
          <w:rFonts w:cs="Arial"/>
        </w:rPr>
      </w:pPr>
      <w:r w:rsidRPr="0039397D">
        <w:rPr>
          <w:rFonts w:cs="Arial"/>
        </w:rPr>
        <w:t>Sick days: the resident will call the pharmacy department line and leave a phone message no later than 7:30am of the work day in which the resident is calling in sick. The resident will also notify the appropriate preceptor prior to the start of the work day.</w:t>
      </w:r>
    </w:p>
    <w:p w:rsidRPr="0039397D" w:rsidR="000E482B" w:rsidP="00F82DCD" w:rsidRDefault="000E482B" w14:paraId="40CA56AE" w14:textId="77777777">
      <w:pPr>
        <w:pStyle w:val="ListParagraph"/>
        <w:numPr>
          <w:ilvl w:val="0"/>
          <w:numId w:val="11"/>
        </w:numPr>
        <w:autoSpaceDE w:val="0"/>
        <w:autoSpaceDN w:val="0"/>
        <w:adjustRightInd w:val="0"/>
        <w:spacing w:after="0"/>
        <w:rPr>
          <w:rFonts w:cs="Arial"/>
        </w:rPr>
      </w:pPr>
      <w:r w:rsidRPr="0039397D">
        <w:rPr>
          <w:rFonts w:cs="Arial"/>
        </w:rPr>
        <w:t>It is the responsibility of the resident to coordinate and make up any work missed during PTO days.</w:t>
      </w:r>
    </w:p>
    <w:p w:rsidRPr="0039397D" w:rsidR="000E482B" w:rsidP="00F82DCD" w:rsidRDefault="000E482B" w14:paraId="2D6C2E47" w14:textId="77777777">
      <w:pPr>
        <w:pStyle w:val="ListParagraph"/>
        <w:numPr>
          <w:ilvl w:val="0"/>
          <w:numId w:val="11"/>
        </w:numPr>
        <w:autoSpaceDE w:val="0"/>
        <w:autoSpaceDN w:val="0"/>
        <w:adjustRightInd w:val="0"/>
        <w:spacing w:after="0"/>
        <w:rPr>
          <w:rFonts w:cs="Arial"/>
        </w:rPr>
      </w:pPr>
      <w:r w:rsidRPr="0039397D">
        <w:rPr>
          <w:rFonts w:cs="Arial"/>
        </w:rPr>
        <w:t>Refer to the HR Department Website for further information reg</w:t>
      </w:r>
      <w:r w:rsidRPr="0039397D" w:rsidR="009833C8">
        <w:rPr>
          <w:rFonts w:cs="Arial"/>
        </w:rPr>
        <w:t>arding leaves of absence, extended sick leave, or family medical leave.</w:t>
      </w:r>
    </w:p>
    <w:p w:rsidRPr="009C548C" w:rsidR="002C2B45" w:rsidP="00F82DCD" w:rsidRDefault="002C2B45" w14:paraId="2A3814D7" w14:textId="77777777">
      <w:pPr>
        <w:autoSpaceDE w:val="0"/>
        <w:autoSpaceDN w:val="0"/>
        <w:adjustRightInd w:val="0"/>
        <w:spacing w:after="0"/>
        <w:rPr>
          <w:rFonts w:cs="Arial"/>
          <w:sz w:val="18"/>
          <w:szCs w:val="18"/>
        </w:rPr>
      </w:pPr>
    </w:p>
    <w:p w:rsidRPr="0039397D" w:rsidR="002C2B45" w:rsidP="00F82DCD" w:rsidRDefault="002C2B45" w14:paraId="448434AD" w14:textId="13DFEAE1">
      <w:pPr>
        <w:autoSpaceDE w:val="0"/>
        <w:autoSpaceDN w:val="0"/>
        <w:adjustRightInd w:val="0"/>
        <w:spacing w:after="0"/>
        <w:outlineLvl w:val="0"/>
        <w:rPr>
          <w:rFonts w:cs="Arial"/>
          <w:b/>
        </w:rPr>
      </w:pPr>
      <w:r w:rsidRPr="0039397D">
        <w:rPr>
          <w:rFonts w:cs="Arial"/>
          <w:b/>
        </w:rPr>
        <w:t>Parking stickers</w:t>
      </w:r>
      <w:r w:rsidRPr="00A949D4" w:rsidR="001D01CD">
        <w:rPr>
          <w:rFonts w:cs="Arial"/>
        </w:rPr>
        <w:t>*</w:t>
      </w:r>
    </w:p>
    <w:p w:rsidRPr="0039397D" w:rsidR="002C2B45" w:rsidP="00F82DCD" w:rsidRDefault="002C2B45" w14:paraId="1EE5B002" w14:textId="77777777">
      <w:pPr>
        <w:autoSpaceDE w:val="0"/>
        <w:autoSpaceDN w:val="0"/>
        <w:adjustRightInd w:val="0"/>
        <w:spacing w:after="0"/>
        <w:rPr>
          <w:rFonts w:cs="Arial"/>
        </w:rPr>
      </w:pPr>
      <w:r w:rsidRPr="0039397D">
        <w:rPr>
          <w:rFonts w:cs="Arial"/>
        </w:rPr>
        <w:t>Obtain a parking sticker from the POP 2 security desk for any vehicle</w:t>
      </w:r>
      <w:r w:rsidR="009D42F2">
        <w:rPr>
          <w:rFonts w:cs="Arial"/>
        </w:rPr>
        <w:t xml:space="preserve"> parked on a Providence campus.</w:t>
      </w:r>
    </w:p>
    <w:p w:rsidRPr="009C548C" w:rsidR="002C2B45" w:rsidP="00F82DCD" w:rsidRDefault="002C2B45" w14:paraId="6C9E0A6D" w14:textId="77777777">
      <w:pPr>
        <w:autoSpaceDE w:val="0"/>
        <w:autoSpaceDN w:val="0"/>
        <w:adjustRightInd w:val="0"/>
        <w:spacing w:after="0"/>
        <w:rPr>
          <w:rFonts w:cs="Arial"/>
          <w:sz w:val="18"/>
          <w:szCs w:val="18"/>
        </w:rPr>
      </w:pPr>
    </w:p>
    <w:p w:rsidRPr="0039397D" w:rsidR="002C2B45" w:rsidP="00F82DCD" w:rsidRDefault="002C2B45" w14:paraId="0602DF4D" w14:textId="77777777">
      <w:pPr>
        <w:autoSpaceDE w:val="0"/>
        <w:autoSpaceDN w:val="0"/>
        <w:adjustRightInd w:val="0"/>
        <w:spacing w:after="0"/>
        <w:outlineLvl w:val="0"/>
        <w:rPr>
          <w:rFonts w:cs="Arial"/>
          <w:b/>
        </w:rPr>
      </w:pPr>
      <w:r w:rsidRPr="0039397D">
        <w:rPr>
          <w:rFonts w:cs="Arial"/>
          <w:b/>
        </w:rPr>
        <w:t>Badge</w:t>
      </w:r>
    </w:p>
    <w:p w:rsidRPr="0039397D" w:rsidR="002C2B45" w:rsidP="00F82DCD" w:rsidRDefault="002C2B45" w14:paraId="373D4F6F" w14:textId="77777777">
      <w:pPr>
        <w:autoSpaceDE w:val="0"/>
        <w:autoSpaceDN w:val="0"/>
        <w:adjustRightInd w:val="0"/>
        <w:spacing w:after="0"/>
        <w:rPr>
          <w:rFonts w:cs="Arial"/>
        </w:rPr>
      </w:pPr>
      <w:r w:rsidRPr="0039397D">
        <w:rPr>
          <w:rFonts w:cs="Arial"/>
        </w:rPr>
        <w:t>Your badge must be properly displayed at all times.  If you forget your badge on a day when you are at POP 2, visit the security desk to obtain a temporary badge.</w:t>
      </w:r>
    </w:p>
    <w:p w:rsidRPr="009C548C" w:rsidR="002C2B45" w:rsidP="00F82DCD" w:rsidRDefault="002C2B45" w14:paraId="461D3395" w14:textId="77777777">
      <w:pPr>
        <w:autoSpaceDE w:val="0"/>
        <w:autoSpaceDN w:val="0"/>
        <w:adjustRightInd w:val="0"/>
        <w:spacing w:after="0"/>
        <w:rPr>
          <w:rFonts w:cs="Arial"/>
          <w:sz w:val="18"/>
          <w:szCs w:val="18"/>
        </w:rPr>
      </w:pPr>
    </w:p>
    <w:p w:rsidR="00A20D01" w:rsidP="00A20D01" w:rsidRDefault="002C2B45" w14:paraId="4F6A4CCE" w14:textId="1D3D077F">
      <w:pPr>
        <w:autoSpaceDE w:val="0"/>
        <w:autoSpaceDN w:val="0"/>
        <w:adjustRightInd w:val="0"/>
        <w:spacing w:after="0"/>
        <w:outlineLvl w:val="0"/>
        <w:rPr>
          <w:rFonts w:cs="Arial"/>
          <w:b/>
        </w:rPr>
      </w:pPr>
      <w:r w:rsidRPr="0039397D">
        <w:rPr>
          <w:rFonts w:cs="Arial"/>
          <w:b/>
        </w:rPr>
        <w:t>TriMet passes</w:t>
      </w:r>
      <w:r w:rsidRPr="00A949D4" w:rsidR="001D01CD">
        <w:rPr>
          <w:rFonts w:cs="Arial"/>
        </w:rPr>
        <w:t>*</w:t>
      </w:r>
    </w:p>
    <w:p w:rsidRPr="0039397D" w:rsidR="000A511C" w:rsidP="00DD708B" w:rsidRDefault="002C2B45" w14:paraId="1BCC7363" w14:textId="4E2F5832">
      <w:pPr>
        <w:autoSpaceDE w:val="0"/>
        <w:autoSpaceDN w:val="0"/>
        <w:adjustRightInd w:val="0"/>
        <w:spacing w:after="0"/>
        <w:outlineLvl w:val="0"/>
        <w:rPr>
          <w:rFonts w:eastAsia="Times New Roman" w:cs="Arial"/>
        </w:rPr>
      </w:pPr>
      <w:r w:rsidRPr="0039397D">
        <w:rPr>
          <w:rFonts w:eastAsia="Times New Roman" w:cs="Arial"/>
        </w:rPr>
        <w:t>Free annual transit passes which provide free transportation on TriMet as well as the MAX light rail and Downtown Street Car are currently available to all Portland Service Area employees. Employees show a TriMet sticker on the back of their PH&amp;S photo identification badge to transit operators.</w:t>
      </w:r>
    </w:p>
    <w:sectPr w:rsidRPr="0039397D" w:rsidR="000A511C" w:rsidSect="001C76DB">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3B88" w:rsidP="0023076C" w:rsidRDefault="00313B88" w14:paraId="699872ED" w14:textId="77777777">
      <w:pPr>
        <w:spacing w:after="0" w:line="240" w:lineRule="auto"/>
      </w:pPr>
      <w:r>
        <w:separator/>
      </w:r>
    </w:p>
  </w:endnote>
  <w:endnote w:type="continuationSeparator" w:id="0">
    <w:p w:rsidR="00313B88" w:rsidP="0023076C" w:rsidRDefault="00313B88" w14:paraId="2ED3382F" w14:textId="77777777">
      <w:pPr>
        <w:spacing w:after="0" w:line="240" w:lineRule="auto"/>
      </w:pPr>
      <w:r>
        <w:continuationSeparator/>
      </w:r>
    </w:p>
  </w:endnote>
  <w:endnote w:type="continuationNotice" w:id="1">
    <w:p w:rsidR="00313B88" w:rsidRDefault="00313B88" w14:paraId="6170AEA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F14" w:rsidRDefault="00702F14" w14:paraId="484D97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9D4" w:rsidRDefault="00A949D4" w14:paraId="6D3A17AF" w14:textId="4435426B">
    <w:pPr>
      <w:pStyle w:val="Footer"/>
      <w:jc w:val="right"/>
    </w:pPr>
  </w:p>
  <w:sdt>
    <w:sdtPr>
      <w:id w:val="304890969"/>
      <w:docPartObj>
        <w:docPartGallery w:val="Page Numbers (Bottom of Page)"/>
        <w:docPartUnique/>
      </w:docPartObj>
    </w:sdtPr>
    <w:sdtContent>
      <w:p w:rsidR="00A949D4" w:rsidRDefault="00A949D4" w14:paraId="20701914" w14:textId="528C58DE">
        <w:pPr>
          <w:pStyle w:val="Footer"/>
          <w:jc w:val="right"/>
          <w:rPr>
            <w:noProof/>
          </w:rPr>
        </w:pPr>
        <w:r>
          <w:fldChar w:fldCharType="begin"/>
        </w:r>
        <w:r>
          <w:instrText xml:space="preserve"> PAGE   \* MERGEFORMAT </w:instrText>
        </w:r>
        <w:r>
          <w:fldChar w:fldCharType="separate"/>
        </w:r>
        <w:r w:rsidR="007B479C">
          <w:rPr>
            <w:noProof/>
          </w:rPr>
          <w:t>1</w:t>
        </w:r>
        <w:r>
          <w:rPr>
            <w:noProof/>
          </w:rPr>
          <w:fldChar w:fldCharType="end"/>
        </w:r>
      </w:p>
      <w:p w:rsidR="00A949D4" w:rsidP="00A949D4" w:rsidRDefault="00A949D4" w14:paraId="2BA21D1D" w14:textId="724C2D7D">
        <w:pPr>
          <w:pStyle w:val="Footer"/>
          <w:tabs>
            <w:tab w:val="right" w:pos="10080"/>
          </w:tabs>
          <w:rPr>
            <w:noProof/>
          </w:rPr>
        </w:pPr>
        <w:r>
          <w:rPr>
            <w:noProof/>
          </w:rPr>
          <w:t>*Specific to PGY2 Ambulatory Care Pharmacy R</w:t>
        </w:r>
        <w:r w:rsidR="003B52AD">
          <w:rPr>
            <w:noProof/>
          </w:rPr>
          <w:t>esidency-Portland</w:t>
        </w:r>
        <w:r w:rsidR="003B52AD">
          <w:rPr>
            <w:noProof/>
          </w:rPr>
          <w:tab/>
        </w:r>
        <w:r w:rsidR="003B52AD">
          <w:rPr>
            <w:noProof/>
          </w:rPr>
          <w:t xml:space="preserve">Last Updated </w:t>
        </w:r>
        <w:r w:rsidR="00E570B6">
          <w:rPr>
            <w:noProof/>
          </w:rPr>
          <w:t>3</w:t>
        </w:r>
        <w:r>
          <w:rPr>
            <w:noProof/>
          </w:rPr>
          <w:t>/202</w:t>
        </w:r>
        <w:r w:rsidR="00D0213D">
          <w:rPr>
            <w:noProof/>
          </w:rPr>
          <w:t>1</w:t>
        </w:r>
      </w:p>
      <w:p w:rsidR="00A949D4" w:rsidP="00A949D4" w:rsidRDefault="00A949D4" w14:paraId="077EC81F" w14:textId="496DF896">
        <w:pPr>
          <w:pStyle w:val="Footer"/>
          <w:tabs>
            <w:tab w:val="right" w:pos="10080"/>
          </w:tabs>
        </w:pPr>
        <w:r>
          <w:rPr>
            <w:noProof/>
          </w:rPr>
          <w:t>^Specific to PGY2 Ambulatory Care Pharmacy Residency-Central Point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F14" w:rsidRDefault="00702F14" w14:paraId="5FD83D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3B88" w:rsidP="0023076C" w:rsidRDefault="00313B88" w14:paraId="06FE97A6" w14:textId="77777777">
      <w:pPr>
        <w:spacing w:after="0" w:line="240" w:lineRule="auto"/>
      </w:pPr>
      <w:r>
        <w:separator/>
      </w:r>
    </w:p>
  </w:footnote>
  <w:footnote w:type="continuationSeparator" w:id="0">
    <w:p w:rsidR="00313B88" w:rsidP="0023076C" w:rsidRDefault="00313B88" w14:paraId="27B243F3" w14:textId="77777777">
      <w:pPr>
        <w:spacing w:after="0" w:line="240" w:lineRule="auto"/>
      </w:pPr>
      <w:r>
        <w:continuationSeparator/>
      </w:r>
    </w:p>
  </w:footnote>
  <w:footnote w:type="continuationNotice" w:id="1">
    <w:p w:rsidR="00313B88" w:rsidRDefault="00313B88" w14:paraId="0F7C9F9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F14" w:rsidRDefault="00702F14" w14:paraId="75E0B0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949D4" w:rsidRDefault="00A949D4" w14:paraId="492AB201" w14:textId="77777777">
    <w:pPr>
      <w:pStyle w:val="Header"/>
    </w:pPr>
    <w:r>
      <w:rPr>
        <w:noProof/>
      </w:rPr>
      <w:drawing>
        <wp:anchor distT="0" distB="0" distL="114300" distR="114300" simplePos="0" relativeHeight="251658243" behindDoc="0" locked="0" layoutInCell="1" allowOverlap="1" wp14:anchorId="21CB2354" wp14:editId="091707AA">
          <wp:simplePos x="0" y="0"/>
          <wp:positionH relativeFrom="column">
            <wp:posOffset>-295275</wp:posOffset>
          </wp:positionH>
          <wp:positionV relativeFrom="paragraph">
            <wp:posOffset>-323850</wp:posOffset>
          </wp:positionV>
          <wp:extent cx="1933575" cy="609600"/>
          <wp:effectExtent l="19050" t="0" r="9525" b="0"/>
          <wp:wrapNone/>
          <wp:docPr id="1" name="Picture 0" descr="PM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G logo.jpg"/>
                  <pic:cNvPicPr/>
                </pic:nvPicPr>
                <pic:blipFill>
                  <a:blip r:embed="rId1"/>
                  <a:stretch>
                    <a:fillRect/>
                  </a:stretch>
                </pic:blipFill>
                <pic:spPr>
                  <a:xfrm>
                    <a:off x="0" y="0"/>
                    <a:ext cx="1933575" cy="609600"/>
                  </a:xfrm>
                  <a:prstGeom prst="rect">
                    <a:avLst/>
                  </a:prstGeom>
                </pic:spPr>
              </pic:pic>
            </a:graphicData>
          </a:graphic>
        </wp:anchor>
      </w:drawing>
    </w:r>
    <w:r>
      <w:rPr>
        <w:noProof/>
      </w:rPr>
      <mc:AlternateContent>
        <mc:Choice Requires="wps">
          <w:drawing>
            <wp:anchor distT="0" distB="0" distL="114300" distR="114300" simplePos="0" relativeHeight="251658242" behindDoc="0" locked="0" layoutInCell="1" allowOverlap="1" wp14:anchorId="538DB66F" wp14:editId="7E9CAA92">
              <wp:simplePos x="0" y="0"/>
              <wp:positionH relativeFrom="column">
                <wp:posOffset>-742950</wp:posOffset>
              </wp:positionH>
              <wp:positionV relativeFrom="paragraph">
                <wp:posOffset>361950</wp:posOffset>
              </wp:positionV>
              <wp:extent cx="7829550" cy="635"/>
              <wp:effectExtent l="0" t="19050" r="19050"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0" cy="635"/>
                      </a:xfrm>
                      <a:prstGeom prst="straightConnector1">
                        <a:avLst/>
                      </a:prstGeom>
                      <a:noFill/>
                      <a:ln w="381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4990045B">
            <v:shapetype id="_x0000_t32" coordsize="21600,21600" o:oned="t" filled="f" o:spt="32" path="m,l21600,21600e" w14:anchorId="4B5F50BF">
              <v:path fillok="f" arrowok="t" o:connecttype="none"/>
              <o:lock v:ext="edit" shapetype="t"/>
            </v:shapetype>
            <v:shape id="AutoShape 5" style="position:absolute;margin-left:-58.5pt;margin-top:28.5pt;width:616.5pt;height:.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f79646 [3209]"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">
              <v:shadow color="#974706 [1609]" opacity=".5" offset="1pt"/>
            </v:shape>
          </w:pict>
        </mc:Fallback>
      </mc:AlternateContent>
    </w:r>
    <w:r>
      <w:rPr>
        <w:noProof/>
      </w:rPr>
      <mc:AlternateContent>
        <mc:Choice Requires="wps">
          <w:drawing>
            <wp:anchor distT="0" distB="0" distL="114300" distR="114300" simplePos="0" relativeHeight="251658241" behindDoc="0" locked="0" layoutInCell="0" allowOverlap="1" wp14:anchorId="5B48929B" wp14:editId="0A2D2FFC">
              <wp:simplePos x="0" y="0"/>
              <wp:positionH relativeFrom="margin">
                <wp:posOffset>2790825</wp:posOffset>
              </wp:positionH>
              <wp:positionV relativeFrom="topMargin">
                <wp:posOffset>371475</wp:posOffset>
              </wp:positionV>
              <wp:extent cx="3609975" cy="17081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57149" w:rsidR="00A949D4" w:rsidP="00657149" w:rsidRDefault="00A949D4" w14:paraId="7AE1129A" w14:textId="13D96F0D">
                          <w:pPr>
                            <w:spacing w:after="0" w:line="240" w:lineRule="auto"/>
                            <w:jc w:val="right"/>
                            <w:rPr>
                              <w:b/>
                            </w:rPr>
                          </w:pPr>
                          <w:r w:rsidRPr="00657149">
                            <w:rPr>
                              <w:b/>
                            </w:rPr>
                            <w:t xml:space="preserve">PGY2 Ambulatory Care </w:t>
                          </w:r>
                          <w:r w:rsidR="007B479C">
                            <w:rPr>
                              <w:b/>
                            </w:rPr>
                            <w:t xml:space="preserve">Pharmacy </w:t>
                          </w:r>
                          <w:r w:rsidRPr="00657149">
                            <w:rPr>
                              <w:b/>
                            </w:rPr>
                            <w:t>Residency Manual</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4226F00">
            <v:shapetype id="_x0000_t202" coordsize="21600,21600" o:spt="202" path="m,l,21600r21600,l21600,xe" w14:anchorId="5B48929B">
              <v:stroke joinstyle="miter"/>
              <v:path gradientshapeok="t" o:connecttype="rect"/>
            </v:shapetype>
            <v:shape id="Text Box 4" style="position:absolute;margin-left:219.75pt;margin-top:29.25pt;width:284.25pt;height:13.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">
              <v:textbox style="mso-fit-shape-to-text:t" inset=",0,,0">
                <w:txbxContent>
                  <w:p w:rsidRPr="00657149" w:rsidR="00A949D4" w:rsidP="00657149" w:rsidRDefault="00A949D4" w14:paraId="36A9F8DF" w14:textId="13D96F0D">
                    <w:pPr>
                      <w:spacing w:after="0" w:line="240" w:lineRule="auto"/>
                      <w:jc w:val="right"/>
                      <w:rPr>
                        <w:b/>
                      </w:rPr>
                    </w:pPr>
                    <w:r w:rsidRPr="00657149">
                      <w:rPr>
                        <w:b/>
                      </w:rPr>
                      <w:t xml:space="preserve">PGY2 Ambulatory Care </w:t>
                    </w:r>
                    <w:r w:rsidR="007B479C">
                      <w:rPr>
                        <w:b/>
                      </w:rPr>
                      <w:t xml:space="preserve">Pharmacy </w:t>
                    </w:r>
                    <w:r w:rsidRPr="00657149">
                      <w:rPr>
                        <w:b/>
                      </w:rPr>
                      <w:t>Residency Manual</w:t>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02968AB3" wp14:editId="6453B8B0">
              <wp:simplePos x="0" y="0"/>
              <wp:positionH relativeFrom="page">
                <wp:align>right</wp:align>
              </wp:positionH>
              <wp:positionV relativeFrom="topMargin">
                <wp:align>center</wp:align>
              </wp:positionV>
              <wp:extent cx="683260" cy="17081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9D4" w:rsidRDefault="00A949D4" w14:paraId="619D7236" w14:textId="77777777">
                          <w:pPr>
                            <w:spacing w:after="0" w:line="240" w:lineRule="auto"/>
                            <w:rPr>
                              <w:color w:val="FFFFFF" w:themeColor="background1"/>
                            </w:rPr>
                          </w:pPr>
                          <w:r>
                            <w:fldChar w:fldCharType="begin"/>
                          </w:r>
                          <w:r>
                            <w:instrText xml:space="preserve"> PAGE   \* MERGEFORMAT </w:instrText>
                          </w:r>
                          <w:r>
                            <w:fldChar w:fldCharType="separate"/>
                          </w:r>
                          <w:r w:rsidRPr="007B479C" w:rsidR="007B479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F533FDB">
            <v:shape id="Text Box 3" style="position:absolute;margin-left:2.6pt;margin-top:0;width:53.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spid="_x0000_s1027" o:allowincell="f" fillcolor="#4f81bd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" w14:anchorId="02968AB3">
              <v:textbox style="mso-fit-shape-to-text:t" inset=",0,,0">
                <w:txbxContent>
                  <w:p w:rsidR="00A949D4" w:rsidRDefault="00A949D4" w14:paraId="3D3D22A9" w14:textId="77777777">
                    <w:pPr>
                      <w:spacing w:after="0" w:line="240" w:lineRule="auto"/>
                      <w:rPr>
                        <w:color w:val="FFFFFF" w:themeColor="background1"/>
                      </w:rPr>
                    </w:pPr>
                    <w:r>
                      <w:fldChar w:fldCharType="begin"/>
                    </w:r>
                    <w:r>
                      <w:instrText xml:space="preserve"> PAGE   \* MERGEFORMAT </w:instrText>
                    </w:r>
                    <w:r>
                      <w:fldChar w:fldCharType="separate"/>
                    </w:r>
                    <w:r w:rsidRPr="007B479C" w:rsidR="007B479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F14" w:rsidRDefault="00702F14" w14:paraId="45787F9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36B"/>
    <w:multiLevelType w:val="hybridMultilevel"/>
    <w:tmpl w:val="65E0BB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7C709C"/>
    <w:multiLevelType w:val="hybridMultilevel"/>
    <w:tmpl w:val="A268F6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FE5576"/>
    <w:multiLevelType w:val="hybridMultilevel"/>
    <w:tmpl w:val="08B2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34BA5"/>
    <w:multiLevelType w:val="hybridMultilevel"/>
    <w:tmpl w:val="802CA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0617B"/>
    <w:multiLevelType w:val="hybridMultilevel"/>
    <w:tmpl w:val="E27EAD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083068"/>
    <w:multiLevelType w:val="hybridMultilevel"/>
    <w:tmpl w:val="6308B542"/>
    <w:lvl w:ilvl="0" w:tplc="9A4286A2">
      <w:start w:val="1"/>
      <w:numFmt w:val="upperLetter"/>
      <w:lvlText w:val="%1."/>
      <w:lvlJc w:val="left"/>
      <w:pPr>
        <w:ind w:left="720" w:hanging="360"/>
      </w:pPr>
      <w:rPr>
        <w:rFonts w:asciiTheme="minorHAnsi" w:hAnsiTheme="minorHAnsi" w:eastAsiaTheme="minorHAnsi" w:cstheme="minorBidi"/>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236F02"/>
    <w:multiLevelType w:val="hybridMultilevel"/>
    <w:tmpl w:val="BB74C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7F334A"/>
    <w:multiLevelType w:val="hybridMultilevel"/>
    <w:tmpl w:val="BAF6EA0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18867AF3"/>
    <w:multiLevelType w:val="hybridMultilevel"/>
    <w:tmpl w:val="0C964E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C955F5"/>
    <w:multiLevelType w:val="hybridMultilevel"/>
    <w:tmpl w:val="BDE8FF78"/>
    <w:lvl w:ilvl="0" w:tplc="9A4286A2">
      <w:start w:val="1"/>
      <w:numFmt w:val="upperLetter"/>
      <w:lvlText w:val="%1."/>
      <w:lvlJc w:val="left"/>
      <w:pPr>
        <w:ind w:left="720" w:hanging="360"/>
      </w:pPr>
      <w:rPr>
        <w:rFonts w:asciiTheme="minorHAnsi" w:hAnsiTheme="minorHAnsi" w:eastAsiaTheme="minorHAnsi" w:cstheme="minorBidi"/>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0B74BBD"/>
    <w:multiLevelType w:val="hybridMultilevel"/>
    <w:tmpl w:val="AD30B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94920"/>
    <w:multiLevelType w:val="hybridMultilevel"/>
    <w:tmpl w:val="2A0EB2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7052A0D"/>
    <w:multiLevelType w:val="hybridMultilevel"/>
    <w:tmpl w:val="327AECC2"/>
    <w:lvl w:ilvl="0" w:tplc="679E866A">
      <w:start w:val="1"/>
      <w:numFmt w:val="decimal"/>
      <w:lvlText w:val="%1."/>
      <w:lvlJc w:val="left"/>
      <w:pPr>
        <w:ind w:left="720" w:hanging="360"/>
      </w:pPr>
      <w:rPr>
        <w:rFonts w:cs="Arial" w:asciiTheme="minorHAnsi" w:hAnsiTheme="minorHAns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72916E8"/>
    <w:multiLevelType w:val="hybridMultilevel"/>
    <w:tmpl w:val="F45AE0A8"/>
    <w:lvl w:ilvl="0" w:tplc="43D49280">
      <w:start w:val="1"/>
      <w:numFmt w:val="bullet"/>
      <w:lvlText w:val=""/>
      <w:lvlJc w:val="left"/>
      <w:pPr>
        <w:tabs>
          <w:tab w:val="num" w:pos="720"/>
        </w:tabs>
        <w:ind w:left="720" w:hanging="360"/>
      </w:pPr>
      <w:rPr>
        <w:rFonts w:hint="default" w:ascii="Symbol" w:hAnsi="Symbol"/>
        <w:sz w:val="20"/>
      </w:rPr>
    </w:lvl>
    <w:lvl w:ilvl="1" w:tplc="AE76978A" w:tentative="1">
      <w:start w:val="1"/>
      <w:numFmt w:val="bullet"/>
      <w:lvlText w:val="o"/>
      <w:lvlJc w:val="left"/>
      <w:pPr>
        <w:tabs>
          <w:tab w:val="num" w:pos="1440"/>
        </w:tabs>
        <w:ind w:left="1440" w:hanging="360"/>
      </w:pPr>
      <w:rPr>
        <w:rFonts w:hint="default" w:ascii="Courier New" w:hAnsi="Courier New"/>
        <w:sz w:val="20"/>
      </w:rPr>
    </w:lvl>
    <w:lvl w:ilvl="2" w:tplc="0DDAE502" w:tentative="1">
      <w:start w:val="1"/>
      <w:numFmt w:val="bullet"/>
      <w:lvlText w:val=""/>
      <w:lvlJc w:val="left"/>
      <w:pPr>
        <w:tabs>
          <w:tab w:val="num" w:pos="2160"/>
        </w:tabs>
        <w:ind w:left="2160" w:hanging="360"/>
      </w:pPr>
      <w:rPr>
        <w:rFonts w:hint="default" w:ascii="Wingdings" w:hAnsi="Wingdings"/>
        <w:sz w:val="20"/>
      </w:rPr>
    </w:lvl>
    <w:lvl w:ilvl="3" w:tplc="263C12DA" w:tentative="1">
      <w:start w:val="1"/>
      <w:numFmt w:val="bullet"/>
      <w:lvlText w:val=""/>
      <w:lvlJc w:val="left"/>
      <w:pPr>
        <w:tabs>
          <w:tab w:val="num" w:pos="2880"/>
        </w:tabs>
        <w:ind w:left="2880" w:hanging="360"/>
      </w:pPr>
      <w:rPr>
        <w:rFonts w:hint="default" w:ascii="Wingdings" w:hAnsi="Wingdings"/>
        <w:sz w:val="20"/>
      </w:rPr>
    </w:lvl>
    <w:lvl w:ilvl="4" w:tplc="A5508F66" w:tentative="1">
      <w:start w:val="1"/>
      <w:numFmt w:val="bullet"/>
      <w:lvlText w:val=""/>
      <w:lvlJc w:val="left"/>
      <w:pPr>
        <w:tabs>
          <w:tab w:val="num" w:pos="3600"/>
        </w:tabs>
        <w:ind w:left="3600" w:hanging="360"/>
      </w:pPr>
      <w:rPr>
        <w:rFonts w:hint="default" w:ascii="Wingdings" w:hAnsi="Wingdings"/>
        <w:sz w:val="20"/>
      </w:rPr>
    </w:lvl>
    <w:lvl w:ilvl="5" w:tplc="C556F584" w:tentative="1">
      <w:start w:val="1"/>
      <w:numFmt w:val="bullet"/>
      <w:lvlText w:val=""/>
      <w:lvlJc w:val="left"/>
      <w:pPr>
        <w:tabs>
          <w:tab w:val="num" w:pos="4320"/>
        </w:tabs>
        <w:ind w:left="4320" w:hanging="360"/>
      </w:pPr>
      <w:rPr>
        <w:rFonts w:hint="default" w:ascii="Wingdings" w:hAnsi="Wingdings"/>
        <w:sz w:val="20"/>
      </w:rPr>
    </w:lvl>
    <w:lvl w:ilvl="6" w:tplc="55540578" w:tentative="1">
      <w:start w:val="1"/>
      <w:numFmt w:val="bullet"/>
      <w:lvlText w:val=""/>
      <w:lvlJc w:val="left"/>
      <w:pPr>
        <w:tabs>
          <w:tab w:val="num" w:pos="5040"/>
        </w:tabs>
        <w:ind w:left="5040" w:hanging="360"/>
      </w:pPr>
      <w:rPr>
        <w:rFonts w:hint="default" w:ascii="Wingdings" w:hAnsi="Wingdings"/>
        <w:sz w:val="20"/>
      </w:rPr>
    </w:lvl>
    <w:lvl w:ilvl="7" w:tplc="0A0EFB26" w:tentative="1">
      <w:start w:val="1"/>
      <w:numFmt w:val="bullet"/>
      <w:lvlText w:val=""/>
      <w:lvlJc w:val="left"/>
      <w:pPr>
        <w:tabs>
          <w:tab w:val="num" w:pos="5760"/>
        </w:tabs>
        <w:ind w:left="5760" w:hanging="360"/>
      </w:pPr>
      <w:rPr>
        <w:rFonts w:hint="default" w:ascii="Wingdings" w:hAnsi="Wingdings"/>
        <w:sz w:val="20"/>
      </w:rPr>
    </w:lvl>
    <w:lvl w:ilvl="8" w:tplc="93A6F0AA"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74B1E7A"/>
    <w:multiLevelType w:val="hybridMultilevel"/>
    <w:tmpl w:val="BE044206"/>
    <w:lvl w:ilvl="0" w:tplc="9A4286A2">
      <w:start w:val="1"/>
      <w:numFmt w:val="upperLetter"/>
      <w:lvlText w:val="%1."/>
      <w:lvlJc w:val="left"/>
      <w:pPr>
        <w:ind w:left="720" w:hanging="360"/>
      </w:pPr>
      <w:rPr>
        <w:rFonts w:asciiTheme="minorHAnsi" w:hAnsiTheme="minorHAnsi" w:eastAsiaTheme="minorHAnsi" w:cstheme="minorBidi"/>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3073F09"/>
    <w:multiLevelType w:val="hybridMultilevel"/>
    <w:tmpl w:val="F3189AD0"/>
    <w:lvl w:ilvl="0" w:tplc="203879F4">
      <w:start w:val="1"/>
      <w:numFmt w:val="bullet"/>
      <w:lvlText w:val=""/>
      <w:lvlJc w:val="left"/>
      <w:pPr>
        <w:tabs>
          <w:tab w:val="num" w:pos="878"/>
        </w:tabs>
        <w:ind w:left="878" w:hanging="360"/>
      </w:pPr>
      <w:rPr>
        <w:rFonts w:hint="default" w:ascii="Symbol" w:hAnsi="Symbol"/>
        <w:sz w:val="20"/>
      </w:rPr>
    </w:lvl>
    <w:lvl w:ilvl="1" w:tplc="06040CFC" w:tentative="1">
      <w:start w:val="1"/>
      <w:numFmt w:val="bullet"/>
      <w:lvlText w:val="o"/>
      <w:lvlJc w:val="left"/>
      <w:pPr>
        <w:tabs>
          <w:tab w:val="num" w:pos="1598"/>
        </w:tabs>
        <w:ind w:left="1598" w:hanging="360"/>
      </w:pPr>
      <w:rPr>
        <w:rFonts w:hint="default" w:ascii="Courier New" w:hAnsi="Courier New"/>
        <w:sz w:val="20"/>
      </w:rPr>
    </w:lvl>
    <w:lvl w:ilvl="2" w:tplc="6728EC96" w:tentative="1">
      <w:start w:val="1"/>
      <w:numFmt w:val="bullet"/>
      <w:lvlText w:val=""/>
      <w:lvlJc w:val="left"/>
      <w:pPr>
        <w:tabs>
          <w:tab w:val="num" w:pos="2318"/>
        </w:tabs>
        <w:ind w:left="2318" w:hanging="360"/>
      </w:pPr>
      <w:rPr>
        <w:rFonts w:hint="default" w:ascii="Wingdings" w:hAnsi="Wingdings"/>
        <w:sz w:val="20"/>
      </w:rPr>
    </w:lvl>
    <w:lvl w:ilvl="3" w:tplc="F412E502" w:tentative="1">
      <w:start w:val="1"/>
      <w:numFmt w:val="bullet"/>
      <w:lvlText w:val=""/>
      <w:lvlJc w:val="left"/>
      <w:pPr>
        <w:tabs>
          <w:tab w:val="num" w:pos="3038"/>
        </w:tabs>
        <w:ind w:left="3038" w:hanging="360"/>
      </w:pPr>
      <w:rPr>
        <w:rFonts w:hint="default" w:ascii="Wingdings" w:hAnsi="Wingdings"/>
        <w:sz w:val="20"/>
      </w:rPr>
    </w:lvl>
    <w:lvl w:ilvl="4" w:tplc="367A77CC" w:tentative="1">
      <w:start w:val="1"/>
      <w:numFmt w:val="bullet"/>
      <w:lvlText w:val=""/>
      <w:lvlJc w:val="left"/>
      <w:pPr>
        <w:tabs>
          <w:tab w:val="num" w:pos="3758"/>
        </w:tabs>
        <w:ind w:left="3758" w:hanging="360"/>
      </w:pPr>
      <w:rPr>
        <w:rFonts w:hint="default" w:ascii="Wingdings" w:hAnsi="Wingdings"/>
        <w:sz w:val="20"/>
      </w:rPr>
    </w:lvl>
    <w:lvl w:ilvl="5" w:tplc="28A48D7C" w:tentative="1">
      <w:start w:val="1"/>
      <w:numFmt w:val="bullet"/>
      <w:lvlText w:val=""/>
      <w:lvlJc w:val="left"/>
      <w:pPr>
        <w:tabs>
          <w:tab w:val="num" w:pos="4478"/>
        </w:tabs>
        <w:ind w:left="4478" w:hanging="360"/>
      </w:pPr>
      <w:rPr>
        <w:rFonts w:hint="default" w:ascii="Wingdings" w:hAnsi="Wingdings"/>
        <w:sz w:val="20"/>
      </w:rPr>
    </w:lvl>
    <w:lvl w:ilvl="6" w:tplc="491C18CC" w:tentative="1">
      <w:start w:val="1"/>
      <w:numFmt w:val="bullet"/>
      <w:lvlText w:val=""/>
      <w:lvlJc w:val="left"/>
      <w:pPr>
        <w:tabs>
          <w:tab w:val="num" w:pos="5198"/>
        </w:tabs>
        <w:ind w:left="5198" w:hanging="360"/>
      </w:pPr>
      <w:rPr>
        <w:rFonts w:hint="default" w:ascii="Wingdings" w:hAnsi="Wingdings"/>
        <w:sz w:val="20"/>
      </w:rPr>
    </w:lvl>
    <w:lvl w:ilvl="7" w:tplc="C51A0FC0" w:tentative="1">
      <w:start w:val="1"/>
      <w:numFmt w:val="bullet"/>
      <w:lvlText w:val=""/>
      <w:lvlJc w:val="left"/>
      <w:pPr>
        <w:tabs>
          <w:tab w:val="num" w:pos="5918"/>
        </w:tabs>
        <w:ind w:left="5918" w:hanging="360"/>
      </w:pPr>
      <w:rPr>
        <w:rFonts w:hint="default" w:ascii="Wingdings" w:hAnsi="Wingdings"/>
        <w:sz w:val="20"/>
      </w:rPr>
    </w:lvl>
    <w:lvl w:ilvl="8" w:tplc="B628918E" w:tentative="1">
      <w:start w:val="1"/>
      <w:numFmt w:val="bullet"/>
      <w:lvlText w:val=""/>
      <w:lvlJc w:val="left"/>
      <w:pPr>
        <w:tabs>
          <w:tab w:val="num" w:pos="6638"/>
        </w:tabs>
        <w:ind w:left="6638" w:hanging="360"/>
      </w:pPr>
      <w:rPr>
        <w:rFonts w:hint="default" w:ascii="Wingdings" w:hAnsi="Wingdings"/>
        <w:sz w:val="20"/>
      </w:rPr>
    </w:lvl>
  </w:abstractNum>
  <w:abstractNum w:abstractNumId="16" w15:restartNumberingAfterBreak="0">
    <w:nsid w:val="397037AE"/>
    <w:multiLevelType w:val="hybridMultilevel"/>
    <w:tmpl w:val="79705D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A865990"/>
    <w:multiLevelType w:val="hybridMultilevel"/>
    <w:tmpl w:val="C6EA9542"/>
    <w:lvl w:ilvl="0" w:tplc="0409000B">
      <w:start w:val="1"/>
      <w:numFmt w:val="bullet"/>
      <w:lvlText w:val=""/>
      <w:lvlJc w:val="left"/>
      <w:pPr>
        <w:ind w:left="720" w:hanging="360"/>
      </w:pPr>
      <w:rPr>
        <w:rFonts w:hint="default" w:ascii="Wingdings" w:hAnsi="Wingdings"/>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FCF2929"/>
    <w:multiLevelType w:val="hybridMultilevel"/>
    <w:tmpl w:val="7DE092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FDE5AFA"/>
    <w:multiLevelType w:val="hybridMultilevel"/>
    <w:tmpl w:val="F170F3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2A87507"/>
    <w:multiLevelType w:val="hybridMultilevel"/>
    <w:tmpl w:val="B60EBCC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62E1B32"/>
    <w:multiLevelType w:val="hybridMultilevel"/>
    <w:tmpl w:val="63D0A404"/>
    <w:lvl w:ilvl="0" w:tplc="04090015">
      <w:start w:val="1"/>
      <w:numFmt w:val="upperLetter"/>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A3F0E4B"/>
    <w:multiLevelType w:val="hybridMultilevel"/>
    <w:tmpl w:val="0C2C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A165E"/>
    <w:multiLevelType w:val="hybridMultilevel"/>
    <w:tmpl w:val="B0D8F6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14344EC"/>
    <w:multiLevelType w:val="hybridMultilevel"/>
    <w:tmpl w:val="D6E0C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A7FC0"/>
    <w:multiLevelType w:val="hybridMultilevel"/>
    <w:tmpl w:val="9C64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F7651"/>
    <w:multiLevelType w:val="hybridMultilevel"/>
    <w:tmpl w:val="B5F4078C"/>
    <w:lvl w:ilvl="0" w:tplc="9A4286A2">
      <w:start w:val="1"/>
      <w:numFmt w:val="upperLetter"/>
      <w:lvlText w:val="%1."/>
      <w:lvlJc w:val="left"/>
      <w:pPr>
        <w:ind w:left="720" w:hanging="360"/>
      </w:pPr>
      <w:rPr>
        <w:rFonts w:asciiTheme="minorHAnsi" w:hAnsiTheme="minorHAnsi" w:eastAsiaTheme="minorHAnsi" w:cstheme="minorBidi"/>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93168B6"/>
    <w:multiLevelType w:val="hybridMultilevel"/>
    <w:tmpl w:val="D3F610B8"/>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9FC608E"/>
    <w:multiLevelType w:val="hybridMultilevel"/>
    <w:tmpl w:val="D4E850FA"/>
    <w:lvl w:ilvl="0" w:tplc="1668DD3C">
      <w:start w:val="1"/>
      <w:numFmt w:val="decimal"/>
      <w:lvlText w:val="%1."/>
      <w:lvlJc w:val="left"/>
      <w:pPr>
        <w:ind w:left="720" w:hanging="360"/>
      </w:pPr>
      <w:rPr>
        <w:rFonts w:ascii="Arial" w:hAnsi="Arial" w:cs="Arial" w:eastAsia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C3A1D"/>
    <w:multiLevelType w:val="hybridMultilevel"/>
    <w:tmpl w:val="552CE7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2BA35B1"/>
    <w:multiLevelType w:val="hybridMultilevel"/>
    <w:tmpl w:val="2638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085EFF"/>
    <w:multiLevelType w:val="hybridMultilevel"/>
    <w:tmpl w:val="5AE8F2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5857BEA"/>
    <w:multiLevelType w:val="hybridMultilevel"/>
    <w:tmpl w:val="10A859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7892FE2"/>
    <w:multiLevelType w:val="hybridMultilevel"/>
    <w:tmpl w:val="596AB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864F3"/>
    <w:multiLevelType w:val="hybridMultilevel"/>
    <w:tmpl w:val="30B86CC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5" w15:restartNumberingAfterBreak="0">
    <w:nsid w:val="747F0B84"/>
    <w:multiLevelType w:val="hybridMultilevel"/>
    <w:tmpl w:val="1A68510C"/>
    <w:lvl w:ilvl="0" w:tplc="0409000B">
      <w:start w:val="1"/>
      <w:numFmt w:val="bullet"/>
      <w:lvlText w:val=""/>
      <w:lvlJc w:val="left"/>
      <w:pPr>
        <w:ind w:left="720" w:hanging="360"/>
      </w:pPr>
      <w:rPr>
        <w:rFonts w:hint="default" w:ascii="Wingdings" w:hAnsi="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2057C"/>
    <w:multiLevelType w:val="hybridMultilevel"/>
    <w:tmpl w:val="31CCD8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9852508"/>
    <w:multiLevelType w:val="hybridMultilevel"/>
    <w:tmpl w:val="EC204F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E776F5A"/>
    <w:multiLevelType w:val="hybridMultilevel"/>
    <w:tmpl w:val="F71A2F10"/>
    <w:lvl w:ilvl="0" w:tplc="9A4286A2">
      <w:start w:val="1"/>
      <w:numFmt w:val="upperLetter"/>
      <w:lvlText w:val="%1."/>
      <w:lvlJc w:val="left"/>
      <w:pPr>
        <w:ind w:left="720" w:hanging="360"/>
      </w:pPr>
      <w:rPr>
        <w:rFonts w:asciiTheme="minorHAnsi" w:hAnsiTheme="minorHAnsi" w:eastAsiaTheme="minorHAnsi" w:cstheme="minorBidi"/>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51889765">
    <w:abstractNumId w:val="19"/>
  </w:num>
  <w:num w:numId="2" w16cid:durableId="1491365668">
    <w:abstractNumId w:val="1"/>
  </w:num>
  <w:num w:numId="3" w16cid:durableId="1943563967">
    <w:abstractNumId w:val="36"/>
  </w:num>
  <w:num w:numId="4" w16cid:durableId="1800302778">
    <w:abstractNumId w:val="10"/>
  </w:num>
  <w:num w:numId="5" w16cid:durableId="332877386">
    <w:abstractNumId w:val="37"/>
  </w:num>
  <w:num w:numId="6" w16cid:durableId="1988656927">
    <w:abstractNumId w:val="28"/>
  </w:num>
  <w:num w:numId="7" w16cid:durableId="258371502">
    <w:abstractNumId w:val="23"/>
  </w:num>
  <w:num w:numId="8" w16cid:durableId="1413046406">
    <w:abstractNumId w:val="6"/>
  </w:num>
  <w:num w:numId="9" w16cid:durableId="1991520934">
    <w:abstractNumId w:val="25"/>
  </w:num>
  <w:num w:numId="10" w16cid:durableId="1652326153">
    <w:abstractNumId w:val="4"/>
  </w:num>
  <w:num w:numId="11" w16cid:durableId="594677873">
    <w:abstractNumId w:val="31"/>
  </w:num>
  <w:num w:numId="12" w16cid:durableId="745035283">
    <w:abstractNumId w:val="0"/>
  </w:num>
  <w:num w:numId="13" w16cid:durableId="2062440218">
    <w:abstractNumId w:val="16"/>
  </w:num>
  <w:num w:numId="14" w16cid:durableId="1419327895">
    <w:abstractNumId w:val="8"/>
  </w:num>
  <w:num w:numId="15" w16cid:durableId="577835034">
    <w:abstractNumId w:val="29"/>
  </w:num>
  <w:num w:numId="16" w16cid:durableId="875656799">
    <w:abstractNumId w:val="32"/>
  </w:num>
  <w:num w:numId="17" w16cid:durableId="1364133665">
    <w:abstractNumId w:val="22"/>
  </w:num>
  <w:num w:numId="18" w16cid:durableId="1675954826">
    <w:abstractNumId w:val="12"/>
  </w:num>
  <w:num w:numId="19" w16cid:durableId="1627000863">
    <w:abstractNumId w:val="15"/>
  </w:num>
  <w:num w:numId="20" w16cid:durableId="1901019081">
    <w:abstractNumId w:val="30"/>
  </w:num>
  <w:num w:numId="21" w16cid:durableId="695809158">
    <w:abstractNumId w:val="24"/>
  </w:num>
  <w:num w:numId="22" w16cid:durableId="1494564380">
    <w:abstractNumId w:val="2"/>
  </w:num>
  <w:num w:numId="23" w16cid:durableId="868950462">
    <w:abstractNumId w:val="27"/>
  </w:num>
  <w:num w:numId="24" w16cid:durableId="1854997029">
    <w:abstractNumId w:val="35"/>
  </w:num>
  <w:num w:numId="25" w16cid:durableId="704449191">
    <w:abstractNumId w:val="17"/>
  </w:num>
  <w:num w:numId="26" w16cid:durableId="158692710">
    <w:abstractNumId w:val="21"/>
  </w:num>
  <w:num w:numId="27" w16cid:durableId="119305532">
    <w:abstractNumId w:val="38"/>
  </w:num>
  <w:num w:numId="28" w16cid:durableId="139536666">
    <w:abstractNumId w:val="3"/>
  </w:num>
  <w:num w:numId="29" w16cid:durableId="1546213418">
    <w:abstractNumId w:val="18"/>
  </w:num>
  <w:num w:numId="30" w16cid:durableId="1825508281">
    <w:abstractNumId w:val="5"/>
  </w:num>
  <w:num w:numId="31" w16cid:durableId="604463737">
    <w:abstractNumId w:val="14"/>
  </w:num>
  <w:num w:numId="32" w16cid:durableId="893155750">
    <w:abstractNumId w:val="34"/>
  </w:num>
  <w:num w:numId="33" w16cid:durableId="1142501758">
    <w:abstractNumId w:val="26"/>
  </w:num>
  <w:num w:numId="34" w16cid:durableId="846403359">
    <w:abstractNumId w:val="9"/>
  </w:num>
  <w:num w:numId="35" w16cid:durableId="1435589144">
    <w:abstractNumId w:val="13"/>
  </w:num>
  <w:num w:numId="36" w16cid:durableId="20479030">
    <w:abstractNumId w:val="7"/>
  </w:num>
  <w:num w:numId="37" w16cid:durableId="897010639">
    <w:abstractNumId w:val="33"/>
  </w:num>
  <w:num w:numId="38" w16cid:durableId="1767995802">
    <w:abstractNumId w:val="20"/>
  </w:num>
  <w:num w:numId="39" w16cid:durableId="107138631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FD"/>
    <w:rsid w:val="000018E7"/>
    <w:rsid w:val="00002C17"/>
    <w:rsid w:val="00004DD0"/>
    <w:rsid w:val="00007024"/>
    <w:rsid w:val="00012473"/>
    <w:rsid w:val="0001259B"/>
    <w:rsid w:val="00034E54"/>
    <w:rsid w:val="00034E63"/>
    <w:rsid w:val="000354F2"/>
    <w:rsid w:val="00052ABF"/>
    <w:rsid w:val="00053B41"/>
    <w:rsid w:val="00063F48"/>
    <w:rsid w:val="000728DD"/>
    <w:rsid w:val="00093C65"/>
    <w:rsid w:val="000A45EB"/>
    <w:rsid w:val="000A511C"/>
    <w:rsid w:val="000C3734"/>
    <w:rsid w:val="000D0D35"/>
    <w:rsid w:val="000E482B"/>
    <w:rsid w:val="00101EB6"/>
    <w:rsid w:val="0010348A"/>
    <w:rsid w:val="001068AD"/>
    <w:rsid w:val="00117FC4"/>
    <w:rsid w:val="001400CC"/>
    <w:rsid w:val="00152329"/>
    <w:rsid w:val="00152ED6"/>
    <w:rsid w:val="00156FC7"/>
    <w:rsid w:val="00170FF6"/>
    <w:rsid w:val="00175D30"/>
    <w:rsid w:val="001821EF"/>
    <w:rsid w:val="00183312"/>
    <w:rsid w:val="00184364"/>
    <w:rsid w:val="001849C2"/>
    <w:rsid w:val="0018648A"/>
    <w:rsid w:val="001947AC"/>
    <w:rsid w:val="001B4AE6"/>
    <w:rsid w:val="001B7334"/>
    <w:rsid w:val="001C1799"/>
    <w:rsid w:val="001C3516"/>
    <w:rsid w:val="001C76DB"/>
    <w:rsid w:val="001D01CD"/>
    <w:rsid w:val="001D7D59"/>
    <w:rsid w:val="001E63FA"/>
    <w:rsid w:val="001F695E"/>
    <w:rsid w:val="00210F36"/>
    <w:rsid w:val="00212AF0"/>
    <w:rsid w:val="00213CE9"/>
    <w:rsid w:val="00227D03"/>
    <w:rsid w:val="0023076C"/>
    <w:rsid w:val="00232334"/>
    <w:rsid w:val="002348D4"/>
    <w:rsid w:val="002442A5"/>
    <w:rsid w:val="00255783"/>
    <w:rsid w:val="00262326"/>
    <w:rsid w:val="00274EA9"/>
    <w:rsid w:val="00275F68"/>
    <w:rsid w:val="00277C1E"/>
    <w:rsid w:val="00287879"/>
    <w:rsid w:val="00293602"/>
    <w:rsid w:val="002978BC"/>
    <w:rsid w:val="002A57A8"/>
    <w:rsid w:val="002B6BE8"/>
    <w:rsid w:val="002C261C"/>
    <w:rsid w:val="002C284E"/>
    <w:rsid w:val="002C2B45"/>
    <w:rsid w:val="002D2F70"/>
    <w:rsid w:val="002E02D0"/>
    <w:rsid w:val="002E350B"/>
    <w:rsid w:val="003074DE"/>
    <w:rsid w:val="00313B88"/>
    <w:rsid w:val="003156D8"/>
    <w:rsid w:val="00316046"/>
    <w:rsid w:val="003317EB"/>
    <w:rsid w:val="003347DC"/>
    <w:rsid w:val="00340AC2"/>
    <w:rsid w:val="0034583B"/>
    <w:rsid w:val="00351104"/>
    <w:rsid w:val="003550C0"/>
    <w:rsid w:val="003603AF"/>
    <w:rsid w:val="00361199"/>
    <w:rsid w:val="00374A52"/>
    <w:rsid w:val="00384BA1"/>
    <w:rsid w:val="0039270C"/>
    <w:rsid w:val="0039397D"/>
    <w:rsid w:val="00394F13"/>
    <w:rsid w:val="00396263"/>
    <w:rsid w:val="003B52AD"/>
    <w:rsid w:val="003B6C71"/>
    <w:rsid w:val="003C6248"/>
    <w:rsid w:val="003D2E26"/>
    <w:rsid w:val="003D6DCE"/>
    <w:rsid w:val="00425FCF"/>
    <w:rsid w:val="00441381"/>
    <w:rsid w:val="004472CE"/>
    <w:rsid w:val="00455609"/>
    <w:rsid w:val="004567C0"/>
    <w:rsid w:val="00460D68"/>
    <w:rsid w:val="00466A7D"/>
    <w:rsid w:val="0047319D"/>
    <w:rsid w:val="0048059E"/>
    <w:rsid w:val="00480814"/>
    <w:rsid w:val="00492144"/>
    <w:rsid w:val="004B053A"/>
    <w:rsid w:val="004B2753"/>
    <w:rsid w:val="004B3463"/>
    <w:rsid w:val="004B501E"/>
    <w:rsid w:val="004C6108"/>
    <w:rsid w:val="004D0921"/>
    <w:rsid w:val="004D58DF"/>
    <w:rsid w:val="004F2EEE"/>
    <w:rsid w:val="004F4E6B"/>
    <w:rsid w:val="0051540F"/>
    <w:rsid w:val="005163EC"/>
    <w:rsid w:val="00516932"/>
    <w:rsid w:val="00524049"/>
    <w:rsid w:val="00524B21"/>
    <w:rsid w:val="00531BDE"/>
    <w:rsid w:val="00532E6F"/>
    <w:rsid w:val="005412AE"/>
    <w:rsid w:val="0054215D"/>
    <w:rsid w:val="0054235B"/>
    <w:rsid w:val="005450BC"/>
    <w:rsid w:val="0055647E"/>
    <w:rsid w:val="005623E0"/>
    <w:rsid w:val="00572D14"/>
    <w:rsid w:val="00581C89"/>
    <w:rsid w:val="00582EE7"/>
    <w:rsid w:val="00583FC8"/>
    <w:rsid w:val="00585590"/>
    <w:rsid w:val="005A6BAA"/>
    <w:rsid w:val="005B3840"/>
    <w:rsid w:val="005C0FEE"/>
    <w:rsid w:val="005C2C75"/>
    <w:rsid w:val="005C3DF1"/>
    <w:rsid w:val="005C69BA"/>
    <w:rsid w:val="005D00B7"/>
    <w:rsid w:val="005D069B"/>
    <w:rsid w:val="005E1874"/>
    <w:rsid w:val="005E7903"/>
    <w:rsid w:val="00605049"/>
    <w:rsid w:val="006161E9"/>
    <w:rsid w:val="00617392"/>
    <w:rsid w:val="00617F8E"/>
    <w:rsid w:val="00621E45"/>
    <w:rsid w:val="00623FD5"/>
    <w:rsid w:val="006256EE"/>
    <w:rsid w:val="00630063"/>
    <w:rsid w:val="00642F2B"/>
    <w:rsid w:val="00657149"/>
    <w:rsid w:val="0066138E"/>
    <w:rsid w:val="00664772"/>
    <w:rsid w:val="006705FD"/>
    <w:rsid w:val="00682461"/>
    <w:rsid w:val="00685A5B"/>
    <w:rsid w:val="00687B86"/>
    <w:rsid w:val="00692899"/>
    <w:rsid w:val="006A34C7"/>
    <w:rsid w:val="006A79D5"/>
    <w:rsid w:val="006B6376"/>
    <w:rsid w:val="006C2D90"/>
    <w:rsid w:val="006C7481"/>
    <w:rsid w:val="006E3296"/>
    <w:rsid w:val="006F514C"/>
    <w:rsid w:val="0070114B"/>
    <w:rsid w:val="00702F14"/>
    <w:rsid w:val="0071653F"/>
    <w:rsid w:val="0074517A"/>
    <w:rsid w:val="0075432B"/>
    <w:rsid w:val="007602A2"/>
    <w:rsid w:val="00773DB4"/>
    <w:rsid w:val="0077472C"/>
    <w:rsid w:val="0078071A"/>
    <w:rsid w:val="007813D9"/>
    <w:rsid w:val="007956EA"/>
    <w:rsid w:val="007A0F7F"/>
    <w:rsid w:val="007A2BA2"/>
    <w:rsid w:val="007B06B9"/>
    <w:rsid w:val="007B479C"/>
    <w:rsid w:val="007C0D8E"/>
    <w:rsid w:val="007C220B"/>
    <w:rsid w:val="007C3176"/>
    <w:rsid w:val="007C326E"/>
    <w:rsid w:val="007C4467"/>
    <w:rsid w:val="007D4345"/>
    <w:rsid w:val="007E4D0C"/>
    <w:rsid w:val="007F5E9F"/>
    <w:rsid w:val="00804E5F"/>
    <w:rsid w:val="00810396"/>
    <w:rsid w:val="00813CB5"/>
    <w:rsid w:val="0081788B"/>
    <w:rsid w:val="00830261"/>
    <w:rsid w:val="00837519"/>
    <w:rsid w:val="008415E5"/>
    <w:rsid w:val="00855EF3"/>
    <w:rsid w:val="0086049C"/>
    <w:rsid w:val="00890196"/>
    <w:rsid w:val="00890660"/>
    <w:rsid w:val="008A195E"/>
    <w:rsid w:val="008B12FC"/>
    <w:rsid w:val="008B7565"/>
    <w:rsid w:val="008C089D"/>
    <w:rsid w:val="008D2EF4"/>
    <w:rsid w:val="008D3348"/>
    <w:rsid w:val="008E4823"/>
    <w:rsid w:val="00911E89"/>
    <w:rsid w:val="00912171"/>
    <w:rsid w:val="00915B45"/>
    <w:rsid w:val="00923AEA"/>
    <w:rsid w:val="0095323A"/>
    <w:rsid w:val="00956E24"/>
    <w:rsid w:val="00957DAB"/>
    <w:rsid w:val="0096466C"/>
    <w:rsid w:val="00970B34"/>
    <w:rsid w:val="009833C8"/>
    <w:rsid w:val="00984C9D"/>
    <w:rsid w:val="009A5316"/>
    <w:rsid w:val="009B09A6"/>
    <w:rsid w:val="009C548C"/>
    <w:rsid w:val="009D36FC"/>
    <w:rsid w:val="009D42F2"/>
    <w:rsid w:val="009D6155"/>
    <w:rsid w:val="009E211B"/>
    <w:rsid w:val="009E67CC"/>
    <w:rsid w:val="009F2DE4"/>
    <w:rsid w:val="009F39DD"/>
    <w:rsid w:val="009F69B1"/>
    <w:rsid w:val="009F7F0F"/>
    <w:rsid w:val="00A12D27"/>
    <w:rsid w:val="00A1459D"/>
    <w:rsid w:val="00A15401"/>
    <w:rsid w:val="00A20D01"/>
    <w:rsid w:val="00A4123F"/>
    <w:rsid w:val="00A4413B"/>
    <w:rsid w:val="00A52DC3"/>
    <w:rsid w:val="00A6753E"/>
    <w:rsid w:val="00A67BDF"/>
    <w:rsid w:val="00A751AC"/>
    <w:rsid w:val="00A949D4"/>
    <w:rsid w:val="00AA2C5E"/>
    <w:rsid w:val="00AA590C"/>
    <w:rsid w:val="00AD0ABF"/>
    <w:rsid w:val="00AD12BF"/>
    <w:rsid w:val="00AD481E"/>
    <w:rsid w:val="00AF6B85"/>
    <w:rsid w:val="00B042B3"/>
    <w:rsid w:val="00B12013"/>
    <w:rsid w:val="00B36BD6"/>
    <w:rsid w:val="00B36FCA"/>
    <w:rsid w:val="00B419B2"/>
    <w:rsid w:val="00B42F07"/>
    <w:rsid w:val="00B52F93"/>
    <w:rsid w:val="00B658EC"/>
    <w:rsid w:val="00B7024E"/>
    <w:rsid w:val="00B7056D"/>
    <w:rsid w:val="00B766A3"/>
    <w:rsid w:val="00BA31E0"/>
    <w:rsid w:val="00BB3DBC"/>
    <w:rsid w:val="00BC2150"/>
    <w:rsid w:val="00BD19DC"/>
    <w:rsid w:val="00BE4DAB"/>
    <w:rsid w:val="00BE552F"/>
    <w:rsid w:val="00BE78AB"/>
    <w:rsid w:val="00BF0551"/>
    <w:rsid w:val="00BF66C0"/>
    <w:rsid w:val="00BF6DE8"/>
    <w:rsid w:val="00C0466E"/>
    <w:rsid w:val="00C11A3F"/>
    <w:rsid w:val="00C12EAA"/>
    <w:rsid w:val="00C14B5B"/>
    <w:rsid w:val="00C46862"/>
    <w:rsid w:val="00C52009"/>
    <w:rsid w:val="00C54EC9"/>
    <w:rsid w:val="00C601CD"/>
    <w:rsid w:val="00C6233A"/>
    <w:rsid w:val="00C76481"/>
    <w:rsid w:val="00C852DC"/>
    <w:rsid w:val="00CA0D9C"/>
    <w:rsid w:val="00CA437F"/>
    <w:rsid w:val="00CA438A"/>
    <w:rsid w:val="00CB5E0B"/>
    <w:rsid w:val="00CB601B"/>
    <w:rsid w:val="00CD4591"/>
    <w:rsid w:val="00CD6EF8"/>
    <w:rsid w:val="00CE62EA"/>
    <w:rsid w:val="00CF5353"/>
    <w:rsid w:val="00D0213D"/>
    <w:rsid w:val="00D04D3F"/>
    <w:rsid w:val="00D24521"/>
    <w:rsid w:val="00D2689E"/>
    <w:rsid w:val="00D4053B"/>
    <w:rsid w:val="00D440ED"/>
    <w:rsid w:val="00D54937"/>
    <w:rsid w:val="00DC4AAE"/>
    <w:rsid w:val="00DD708B"/>
    <w:rsid w:val="00DE583A"/>
    <w:rsid w:val="00DE623E"/>
    <w:rsid w:val="00DE79FD"/>
    <w:rsid w:val="00DF2651"/>
    <w:rsid w:val="00DF3093"/>
    <w:rsid w:val="00E17C48"/>
    <w:rsid w:val="00E21E02"/>
    <w:rsid w:val="00E275EB"/>
    <w:rsid w:val="00E31F58"/>
    <w:rsid w:val="00E3368C"/>
    <w:rsid w:val="00E33943"/>
    <w:rsid w:val="00E43EF5"/>
    <w:rsid w:val="00E47052"/>
    <w:rsid w:val="00E477EA"/>
    <w:rsid w:val="00E543E1"/>
    <w:rsid w:val="00E570B6"/>
    <w:rsid w:val="00E62376"/>
    <w:rsid w:val="00E6543E"/>
    <w:rsid w:val="00E66244"/>
    <w:rsid w:val="00E66D02"/>
    <w:rsid w:val="00E76F4E"/>
    <w:rsid w:val="00E82A3B"/>
    <w:rsid w:val="00E84F87"/>
    <w:rsid w:val="00E91068"/>
    <w:rsid w:val="00E91990"/>
    <w:rsid w:val="00E97381"/>
    <w:rsid w:val="00EA443B"/>
    <w:rsid w:val="00EA6558"/>
    <w:rsid w:val="00EB1C23"/>
    <w:rsid w:val="00EB6C64"/>
    <w:rsid w:val="00EB704E"/>
    <w:rsid w:val="00EC30C0"/>
    <w:rsid w:val="00ED5A14"/>
    <w:rsid w:val="00ED7FC4"/>
    <w:rsid w:val="00EF28DA"/>
    <w:rsid w:val="00F02450"/>
    <w:rsid w:val="00F0640F"/>
    <w:rsid w:val="00F07B3A"/>
    <w:rsid w:val="00F11106"/>
    <w:rsid w:val="00F279EF"/>
    <w:rsid w:val="00F519A5"/>
    <w:rsid w:val="00F61B12"/>
    <w:rsid w:val="00F7343B"/>
    <w:rsid w:val="00F76004"/>
    <w:rsid w:val="00F76D77"/>
    <w:rsid w:val="00F82DCD"/>
    <w:rsid w:val="00F838C5"/>
    <w:rsid w:val="00FA6C9F"/>
    <w:rsid w:val="00FB0D57"/>
    <w:rsid w:val="00FB4894"/>
    <w:rsid w:val="00FB4F8C"/>
    <w:rsid w:val="00FB5B93"/>
    <w:rsid w:val="00FC4653"/>
    <w:rsid w:val="00FF7718"/>
    <w:rsid w:val="0474EB29"/>
    <w:rsid w:val="06D49E21"/>
    <w:rsid w:val="12F1676D"/>
    <w:rsid w:val="25512A54"/>
    <w:rsid w:val="28A3837A"/>
    <w:rsid w:val="2AB68CD2"/>
    <w:rsid w:val="2B1A8AA2"/>
    <w:rsid w:val="2C0F122A"/>
    <w:rsid w:val="2D09659B"/>
    <w:rsid w:val="2E522B64"/>
    <w:rsid w:val="30A72A2E"/>
    <w:rsid w:val="35E72490"/>
    <w:rsid w:val="362794C4"/>
    <w:rsid w:val="36F40FE0"/>
    <w:rsid w:val="374862DA"/>
    <w:rsid w:val="37ACFBEE"/>
    <w:rsid w:val="4E2FB94E"/>
    <w:rsid w:val="4EA0145E"/>
    <w:rsid w:val="571F6726"/>
    <w:rsid w:val="5748A263"/>
    <w:rsid w:val="5CFB1A57"/>
    <w:rsid w:val="62959743"/>
    <w:rsid w:val="63816CB0"/>
    <w:rsid w:val="65CD3805"/>
    <w:rsid w:val="665F3AF9"/>
    <w:rsid w:val="674FE009"/>
    <w:rsid w:val="6A46ECC6"/>
    <w:rsid w:val="6C11A7A0"/>
    <w:rsid w:val="6F3DD645"/>
    <w:rsid w:val="6F4BAF55"/>
    <w:rsid w:val="7092486C"/>
    <w:rsid w:val="71A23688"/>
    <w:rsid w:val="7767A77A"/>
    <w:rsid w:val="778331E3"/>
    <w:rsid w:val="7A4F3A67"/>
    <w:rsid w:val="7BF87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01B8D"/>
  <w15:docId w15:val="{9D92A1A7-B127-43D6-8A56-804722F61C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E79F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E79FD"/>
    <w:rPr>
      <w:rFonts w:ascii="Tahoma" w:hAnsi="Tahoma" w:cs="Tahoma"/>
      <w:sz w:val="16"/>
      <w:szCs w:val="16"/>
    </w:rPr>
  </w:style>
  <w:style w:type="character" w:styleId="Hyperlink">
    <w:name w:val="Hyperlink"/>
    <w:basedOn w:val="DefaultParagraphFont"/>
    <w:uiPriority w:val="99"/>
    <w:unhideWhenUsed/>
    <w:rsid w:val="00E3368C"/>
    <w:rPr>
      <w:color w:val="0000FF" w:themeColor="hyperlink"/>
      <w:u w:val="single"/>
    </w:rPr>
  </w:style>
  <w:style w:type="paragraph" w:styleId="ListParagraph">
    <w:name w:val="List Paragraph"/>
    <w:basedOn w:val="Normal"/>
    <w:uiPriority w:val="34"/>
    <w:qFormat/>
    <w:rsid w:val="00480814"/>
    <w:pPr>
      <w:ind w:left="720"/>
      <w:contextualSpacing/>
    </w:pPr>
  </w:style>
  <w:style w:type="paragraph" w:styleId="Header">
    <w:name w:val="header"/>
    <w:basedOn w:val="Normal"/>
    <w:link w:val="HeaderChar"/>
    <w:uiPriority w:val="99"/>
    <w:unhideWhenUsed/>
    <w:rsid w:val="0023076C"/>
    <w:pPr>
      <w:tabs>
        <w:tab w:val="center" w:pos="4680"/>
        <w:tab w:val="right" w:pos="9360"/>
      </w:tabs>
      <w:spacing w:after="0" w:line="240" w:lineRule="auto"/>
    </w:pPr>
  </w:style>
  <w:style w:type="character" w:styleId="HeaderChar" w:customStyle="1">
    <w:name w:val="Header Char"/>
    <w:basedOn w:val="DefaultParagraphFont"/>
    <w:link w:val="Header"/>
    <w:uiPriority w:val="99"/>
    <w:rsid w:val="0023076C"/>
  </w:style>
  <w:style w:type="paragraph" w:styleId="Footer">
    <w:name w:val="footer"/>
    <w:basedOn w:val="Normal"/>
    <w:link w:val="FooterChar"/>
    <w:uiPriority w:val="99"/>
    <w:unhideWhenUsed/>
    <w:rsid w:val="0023076C"/>
    <w:pPr>
      <w:tabs>
        <w:tab w:val="center" w:pos="4680"/>
        <w:tab w:val="right" w:pos="9360"/>
      </w:tabs>
      <w:spacing w:after="0" w:line="240" w:lineRule="auto"/>
    </w:pPr>
  </w:style>
  <w:style w:type="character" w:styleId="FooterChar" w:customStyle="1">
    <w:name w:val="Footer Char"/>
    <w:basedOn w:val="DefaultParagraphFont"/>
    <w:link w:val="Footer"/>
    <w:uiPriority w:val="99"/>
    <w:rsid w:val="0023076C"/>
  </w:style>
  <w:style w:type="character" w:styleId="ms-rtecustom-blue-dark1" w:customStyle="1">
    <w:name w:val="ms-rtecustom-blue-dark1"/>
    <w:basedOn w:val="DefaultParagraphFont"/>
    <w:rsid w:val="002C2B45"/>
    <w:rPr>
      <w:rFonts w:hint="default" w:ascii="Arial" w:hAnsi="Arial" w:cs="Arial"/>
      <w:color w:val="003366"/>
      <w:sz w:val="20"/>
      <w:szCs w:val="20"/>
    </w:rPr>
  </w:style>
  <w:style w:type="paragraph" w:styleId="DocumentMap">
    <w:name w:val="Document Map"/>
    <w:basedOn w:val="Normal"/>
    <w:link w:val="DocumentMapChar"/>
    <w:uiPriority w:val="99"/>
    <w:semiHidden/>
    <w:unhideWhenUsed/>
    <w:rsid w:val="0039397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39397D"/>
    <w:rPr>
      <w:rFonts w:ascii="Tahoma" w:hAnsi="Tahoma" w:cs="Tahoma"/>
      <w:sz w:val="16"/>
      <w:szCs w:val="16"/>
    </w:rPr>
  </w:style>
  <w:style w:type="paragraph" w:styleId="NormalWeb">
    <w:name w:val="Normal (Web)"/>
    <w:basedOn w:val="Normal"/>
    <w:uiPriority w:val="99"/>
    <w:unhideWhenUsed/>
    <w:rsid w:val="007E4D0C"/>
    <w:pPr>
      <w:spacing w:after="100" w:afterAutospacing="1" w:line="240" w:lineRule="auto"/>
    </w:pPr>
    <w:rPr>
      <w:rFonts w:ascii="Verdana" w:hAnsi="Verdana" w:eastAsia="Times New Roman" w:cs="Times New Roman"/>
      <w:sz w:val="20"/>
      <w:szCs w:val="20"/>
    </w:rPr>
  </w:style>
  <w:style w:type="character" w:styleId="FollowedHyperlink">
    <w:name w:val="FollowedHyperlink"/>
    <w:basedOn w:val="DefaultParagraphFont"/>
    <w:uiPriority w:val="99"/>
    <w:semiHidden/>
    <w:unhideWhenUsed/>
    <w:rsid w:val="00890196"/>
    <w:rPr>
      <w:color w:val="800080" w:themeColor="followedHyperlink"/>
      <w:u w:val="single"/>
    </w:rPr>
  </w:style>
  <w:style w:type="table" w:styleId="TableGrid">
    <w:name w:val="Table Grid"/>
    <w:basedOn w:val="TableNormal"/>
    <w:uiPriority w:val="59"/>
    <w:rsid w:val="003156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D2689E"/>
    <w:rPr>
      <w:sz w:val="16"/>
      <w:szCs w:val="16"/>
    </w:rPr>
  </w:style>
  <w:style w:type="paragraph" w:styleId="CommentText">
    <w:name w:val="annotation text"/>
    <w:basedOn w:val="Normal"/>
    <w:link w:val="CommentTextChar"/>
    <w:uiPriority w:val="99"/>
    <w:semiHidden/>
    <w:unhideWhenUsed/>
    <w:rsid w:val="00D2689E"/>
    <w:pPr>
      <w:spacing w:line="240" w:lineRule="auto"/>
    </w:pPr>
    <w:rPr>
      <w:sz w:val="20"/>
      <w:szCs w:val="20"/>
    </w:rPr>
  </w:style>
  <w:style w:type="character" w:styleId="CommentTextChar" w:customStyle="1">
    <w:name w:val="Comment Text Char"/>
    <w:basedOn w:val="DefaultParagraphFont"/>
    <w:link w:val="CommentText"/>
    <w:uiPriority w:val="99"/>
    <w:semiHidden/>
    <w:rsid w:val="00D2689E"/>
    <w:rPr>
      <w:sz w:val="20"/>
      <w:szCs w:val="20"/>
    </w:rPr>
  </w:style>
  <w:style w:type="paragraph" w:styleId="CommentSubject">
    <w:name w:val="annotation subject"/>
    <w:basedOn w:val="CommentText"/>
    <w:next w:val="CommentText"/>
    <w:link w:val="CommentSubjectChar"/>
    <w:uiPriority w:val="99"/>
    <w:semiHidden/>
    <w:unhideWhenUsed/>
    <w:rsid w:val="00D2689E"/>
    <w:rPr>
      <w:b/>
      <w:bCs/>
    </w:rPr>
  </w:style>
  <w:style w:type="character" w:styleId="CommentSubjectChar" w:customStyle="1">
    <w:name w:val="Comment Subject Char"/>
    <w:basedOn w:val="CommentTextChar"/>
    <w:link w:val="CommentSubject"/>
    <w:uiPriority w:val="99"/>
    <w:semiHidden/>
    <w:rsid w:val="00D268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4782">
      <w:bodyDiv w:val="1"/>
      <w:marLeft w:val="0"/>
      <w:marRight w:val="0"/>
      <w:marTop w:val="0"/>
      <w:marBottom w:val="0"/>
      <w:divBdr>
        <w:top w:val="none" w:sz="0" w:space="0" w:color="auto"/>
        <w:left w:val="none" w:sz="0" w:space="0" w:color="auto"/>
        <w:bottom w:val="none" w:sz="0" w:space="0" w:color="auto"/>
        <w:right w:val="none" w:sz="0" w:space="0" w:color="auto"/>
      </w:divBdr>
      <w:divsChild>
        <w:div w:id="1082291589">
          <w:marLeft w:val="0"/>
          <w:marRight w:val="0"/>
          <w:marTop w:val="0"/>
          <w:marBottom w:val="0"/>
          <w:divBdr>
            <w:top w:val="none" w:sz="0" w:space="0" w:color="auto"/>
            <w:left w:val="none" w:sz="0" w:space="0" w:color="auto"/>
            <w:bottom w:val="none" w:sz="0" w:space="0" w:color="auto"/>
            <w:right w:val="none" w:sz="0" w:space="0" w:color="auto"/>
          </w:divBdr>
        </w:div>
      </w:divsChild>
    </w:div>
    <w:div w:id="1005665372">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26">
          <w:marLeft w:val="0"/>
          <w:marRight w:val="0"/>
          <w:marTop w:val="0"/>
          <w:marBottom w:val="0"/>
          <w:divBdr>
            <w:top w:val="none" w:sz="0" w:space="0" w:color="auto"/>
            <w:left w:val="none" w:sz="0" w:space="0" w:color="auto"/>
            <w:bottom w:val="none" w:sz="0" w:space="0" w:color="auto"/>
            <w:right w:val="none" w:sz="0" w:space="0" w:color="auto"/>
          </w:divBdr>
          <w:divsChild>
            <w:div w:id="13132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Kristin.Tallman@providence.or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mailto:Dara.Johnson@providence.org"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mailto:Judy.Wong@providence.org"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helsea.Mannebach@providence.org" TargetMode="External" Id="rId14"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9EBC9A5DF9954C85AA9F92E1385D6B" ma:contentTypeVersion="6" ma:contentTypeDescription="Create a new document." ma:contentTypeScope="" ma:versionID="cb1da25719eedea264bbcc7fe277b3ff">
  <xsd:schema xmlns:xsd="http://www.w3.org/2001/XMLSchema" xmlns:xs="http://www.w3.org/2001/XMLSchema" xmlns:p="http://schemas.microsoft.com/office/2006/metadata/properties" xmlns:ns2="b2fee50b-88cb-42bc-a02a-22912bbd2c4e" xmlns:ns3="34df9f10-e707-416e-87fd-a1c19edc7341" targetNamespace="http://schemas.microsoft.com/office/2006/metadata/properties" ma:root="true" ma:fieldsID="fa56033690e629038d7823376c532c5f" ns2:_="" ns3:_="">
    <xsd:import namespace="b2fee50b-88cb-42bc-a02a-22912bbd2c4e"/>
    <xsd:import namespace="34df9f10-e707-416e-87fd-a1c19edc7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e50b-88cb-42bc-a02a-22912bbd2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df9f10-e707-416e-87fd-a1c19edc7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4233E-8F9F-4079-9691-6C0F37AFED05}">
  <ds:schemaRefs>
    <ds:schemaRef ds:uri="http://schemas.microsoft.com/sharepoint/v3/contenttype/forms"/>
  </ds:schemaRefs>
</ds:datastoreItem>
</file>

<file path=customXml/itemProps2.xml><?xml version="1.0" encoding="utf-8"?>
<ds:datastoreItem xmlns:ds="http://schemas.openxmlformats.org/officeDocument/2006/customXml" ds:itemID="{067E793F-0570-40AF-B7A0-041D9E3A4767}">
  <ds:schemaRefs>
    <ds:schemaRef ds:uri="http://schemas.openxmlformats.org/officeDocument/2006/bibliography"/>
  </ds:schemaRefs>
</ds:datastoreItem>
</file>

<file path=customXml/itemProps3.xml><?xml version="1.0" encoding="utf-8"?>
<ds:datastoreItem xmlns:ds="http://schemas.openxmlformats.org/officeDocument/2006/customXml" ds:itemID="{B06A9692-E8FA-442D-9BD2-3F0B59C2CEEA}">
  <ds:schemaRefs>
    <ds:schemaRef ds:uri="b2fee50b-88cb-42bc-a02a-22912bbd2c4e"/>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B98AEEC1-6175-405B-B6E4-C5BFEB008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e50b-88cb-42bc-a02a-22912bbd2c4e"/>
    <ds:schemaRef ds:uri="34df9f10-e707-416e-87fd-a1c19edc7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3942</Words>
  <Characters>22470</Characters>
  <Application>Microsoft Office Word</Application>
  <DocSecurity>4</DocSecurity>
  <Lines>187</Lines>
  <Paragraphs>52</Paragraphs>
  <ScaleCrop>false</ScaleCrop>
  <Company>Providence Health &amp; Services</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PGY2 Ambulatory Care Residency Manual</dc:title>
  <dc:subject/>
  <dc:creator>p357451</dc:creator>
  <cp:keywords/>
  <dc:description/>
  <cp:lastModifiedBy>Johnson, Dara L</cp:lastModifiedBy>
  <cp:revision>6</cp:revision>
  <cp:lastPrinted>2021-01-26T18:35:00Z</cp:lastPrinted>
  <dcterms:created xsi:type="dcterms:W3CDTF">2021-03-17T18:42:00Z</dcterms:created>
  <dcterms:modified xsi:type="dcterms:W3CDTF">2022-05-05T16:05:00Z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0x010100FA9EBC9A5DF9954C85AA9F92E1385D6B</vt:lpwstr>
  </property>
  <property fmtid="{D5CDD505-2E9C-101B-9397-08002B2CF9AE}" pid="3" name="MSIP_Label_11a905b5-8388-4a05-b89a-55e43f7b4d00_Enabled">
    <vt:lpwstr>true</vt:lpwstr>
  </property>
  <property fmtid="{D5CDD505-2E9C-101B-9397-08002B2CF9AE}" pid="4" name="MSIP_Label_11a905b5-8388-4a05-b89a-55e43f7b4d00_SetDate">
    <vt:lpwstr>2020-07-02T21:22:47Z</vt:lpwstr>
  </property>
  <property fmtid="{D5CDD505-2E9C-101B-9397-08002B2CF9AE}" pid="5" name="MSIP_Label_11a905b5-8388-4a05-b89a-55e43f7b4d00_Method">
    <vt:lpwstr>Standard</vt:lpwstr>
  </property>
  <property fmtid="{D5CDD505-2E9C-101B-9397-08002B2CF9AE}" pid="6" name="MSIP_Label_11a905b5-8388-4a05-b89a-55e43f7b4d00_Name">
    <vt:lpwstr>General</vt:lpwstr>
  </property>
  <property fmtid="{D5CDD505-2E9C-101B-9397-08002B2CF9AE}" pid="7" name="MSIP_Label_11a905b5-8388-4a05-b89a-55e43f7b4d00_SiteId">
    <vt:lpwstr>2e319086-9a26-46a3-865f-615bed576786</vt:lpwstr>
  </property>
  <property fmtid="{D5CDD505-2E9C-101B-9397-08002B2CF9AE}" pid="8" name="MSIP_Label_11a905b5-8388-4a05-b89a-55e43f7b4d00_ActionId">
    <vt:lpwstr>ab8e0f3c-ae11-48b8-b1f6-cd60f259db05</vt:lpwstr>
  </property>
  <property fmtid="{D5CDD505-2E9C-101B-9397-08002B2CF9AE}" pid="9" name="MSIP_Label_11a905b5-8388-4a05-b89a-55e43f7b4d00_ContentBits">
    <vt:lpwstr>0</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